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57B6" w:rsidRDefault="003E57B6" w:rsidP="003E57B6">
      <w:pPr>
        <w:pStyle w:val="Ttulo4"/>
        <w:jc w:val="center"/>
      </w:pPr>
      <w:r>
        <w:t>DECLARAÇÕES DO MAGISTÉRIO DA IGREJA SOBRE A TRINDADE</w:t>
      </w:r>
    </w:p>
    <w:p w:rsidR="003E57B6" w:rsidRDefault="003E57B6" w:rsidP="00D92EF1">
      <w:pPr>
        <w:pStyle w:val="Ttulo4"/>
      </w:pPr>
    </w:p>
    <w:p w:rsidR="00276B67" w:rsidRPr="00C902A2" w:rsidRDefault="00276B67" w:rsidP="00C902A2">
      <w:pPr>
        <w:pStyle w:val="Ttulo3"/>
        <w:shd w:val="clear" w:color="auto" w:fill="D9D9D9" w:themeFill="background1" w:themeFillShade="D9"/>
        <w:rPr>
          <w:color w:val="auto"/>
        </w:rPr>
      </w:pPr>
      <w:r w:rsidRPr="00C902A2">
        <w:rPr>
          <w:color w:val="auto"/>
        </w:rPr>
        <w:t>I Concílio de NICÉIA (1º ecumênico</w:t>
      </w:r>
      <w:proofErr w:type="gramStart"/>
      <w:r w:rsidRPr="00C902A2">
        <w:rPr>
          <w:color w:val="auto"/>
        </w:rPr>
        <w:t>) :</w:t>
      </w:r>
      <w:proofErr w:type="gramEnd"/>
      <w:r w:rsidRPr="00C902A2">
        <w:rPr>
          <w:color w:val="auto"/>
        </w:rPr>
        <w:t xml:space="preserve"> 19 jun. – 25 ago. 325</w:t>
      </w:r>
    </w:p>
    <w:p w:rsidR="00C902A2" w:rsidRDefault="00C902A2" w:rsidP="00276B67">
      <w:pPr>
        <w:pStyle w:val="Estilo1"/>
      </w:pPr>
    </w:p>
    <w:p w:rsidR="00276B67" w:rsidRDefault="00276B67" w:rsidP="00276B67">
      <w:pPr>
        <w:pStyle w:val="Estilo1"/>
      </w:pPr>
      <w:r>
        <w:t>Este concílio dos “318 Padres”, convocado pelo imperador Constantino, o Grande, condenou</w:t>
      </w:r>
      <w:proofErr w:type="gramStart"/>
      <w:r>
        <w:t xml:space="preserve"> sobretudo</w:t>
      </w:r>
      <w:proofErr w:type="gramEnd"/>
      <w:r>
        <w:t xml:space="preserve"> os arianos. Começou em 19 jun.. Encontram-se conservados somente o Símbolo da fé, 20 cânones e uma carta sinodal. </w:t>
      </w:r>
    </w:p>
    <w:p w:rsidR="00276B67" w:rsidRDefault="00276B67" w:rsidP="00276B67">
      <w:pPr>
        <w:pStyle w:val="Ttulo4"/>
      </w:pPr>
      <w:r>
        <w:t>Símbolo niceno, 19 jun. de 325</w:t>
      </w:r>
    </w:p>
    <w:tbl>
      <w:tblPr>
        <w:tblW w:w="0" w:type="auto"/>
        <w:tblLayout w:type="fixed"/>
        <w:tblCellMar>
          <w:left w:w="70" w:type="dxa"/>
          <w:right w:w="70" w:type="dxa"/>
        </w:tblCellMar>
        <w:tblLook w:val="0000" w:firstRow="0" w:lastRow="0" w:firstColumn="0" w:lastColumn="0" w:noHBand="0" w:noVBand="0"/>
      </w:tblPr>
      <w:tblGrid>
        <w:gridCol w:w="4323"/>
        <w:gridCol w:w="567"/>
        <w:gridCol w:w="4252"/>
      </w:tblGrid>
      <w:tr w:rsidR="00276B67" w:rsidTr="00FF31E6">
        <w:tc>
          <w:tcPr>
            <w:tcW w:w="4323" w:type="dxa"/>
          </w:tcPr>
          <w:p w:rsidR="00276B67" w:rsidRDefault="00276B67" w:rsidP="00FF31E6">
            <w:pPr>
              <w:pStyle w:val="Ttulo5"/>
            </w:pPr>
            <w:r>
              <w:t>[Versão grega]</w:t>
            </w:r>
          </w:p>
          <w:p w:rsidR="00276B67" w:rsidRDefault="00276B67" w:rsidP="00FF31E6">
            <w:pPr>
              <w:ind w:left="1134" w:hanging="1134"/>
            </w:pPr>
            <w:r>
              <w:t>Cremos em um só Deus, Pai onipotente, criador de todas as coisas visíveis e invisíveis.</w:t>
            </w:r>
          </w:p>
        </w:tc>
        <w:tc>
          <w:tcPr>
            <w:tcW w:w="567" w:type="dxa"/>
          </w:tcPr>
          <w:p w:rsidR="00276B67" w:rsidRDefault="00276B67" w:rsidP="00FF31E6">
            <w:pPr>
              <w:pStyle w:val="Ttulo5"/>
            </w:pPr>
          </w:p>
        </w:tc>
        <w:tc>
          <w:tcPr>
            <w:tcW w:w="4252" w:type="dxa"/>
          </w:tcPr>
          <w:p w:rsidR="00276B67" w:rsidRDefault="00276B67" w:rsidP="00FF31E6">
            <w:pPr>
              <w:pStyle w:val="Ttulo5"/>
            </w:pPr>
            <w:r>
              <w:t>[Versão latina]</w:t>
            </w:r>
          </w:p>
          <w:p w:rsidR="00276B67" w:rsidRDefault="00276B67" w:rsidP="00FF31E6">
            <w:pPr>
              <w:ind w:left="1134" w:hanging="1134"/>
            </w:pPr>
            <w:r>
              <w:t>Cremos em um só Deus, Pai onipotente, criador de todas as coisas visíveis e invisíveis.</w:t>
            </w:r>
          </w:p>
        </w:tc>
      </w:tr>
      <w:tr w:rsidR="00276B67" w:rsidTr="00FF31E6">
        <w:tc>
          <w:tcPr>
            <w:tcW w:w="4323" w:type="dxa"/>
          </w:tcPr>
          <w:p w:rsidR="00276B67" w:rsidRDefault="00276B67" w:rsidP="00FF31E6">
            <w:pPr>
              <w:ind w:left="1134" w:hanging="1134"/>
            </w:pPr>
            <w:r>
              <w:t xml:space="preserve">E em um só Senhor Jesus Cristo, o Filho de Deus, </w:t>
            </w:r>
          </w:p>
        </w:tc>
        <w:tc>
          <w:tcPr>
            <w:tcW w:w="567" w:type="dxa"/>
          </w:tcPr>
          <w:p w:rsidR="00276B67" w:rsidRDefault="00276B67" w:rsidP="00FF31E6">
            <w:pPr>
              <w:ind w:left="1134" w:hanging="1134"/>
            </w:pPr>
          </w:p>
        </w:tc>
        <w:tc>
          <w:tcPr>
            <w:tcW w:w="4252" w:type="dxa"/>
          </w:tcPr>
          <w:p w:rsidR="00276B67" w:rsidRDefault="00276B67" w:rsidP="00FF31E6">
            <w:pPr>
              <w:ind w:left="1134" w:hanging="1134"/>
            </w:pPr>
            <w:r>
              <w:t>E em um só nosso Senhor Jesus Cristo, Filho de Deus,</w:t>
            </w:r>
          </w:p>
        </w:tc>
      </w:tr>
      <w:tr w:rsidR="00276B67" w:rsidTr="00FF31E6">
        <w:tc>
          <w:tcPr>
            <w:tcW w:w="4323" w:type="dxa"/>
          </w:tcPr>
          <w:p w:rsidR="00276B67" w:rsidRDefault="00276B67" w:rsidP="00FF31E6">
            <w:pPr>
              <w:ind w:left="1134" w:hanging="1134"/>
            </w:pPr>
            <w:r>
              <w:tab/>
            </w:r>
            <w:proofErr w:type="gramStart"/>
            <w:r>
              <w:t>gerado</w:t>
            </w:r>
            <w:proofErr w:type="gramEnd"/>
            <w:r>
              <w:t xml:space="preserve"> unigênito do Pai, isto é, da substância do Pai, Deus de Deus, luz da luz, Deus verdadeiro de Deus verdadeiro, gerado, não feito, consubstancial ao Pai, por meio do qual todas as coisas vieram a ser, tanto no céu como na terra;</w:t>
            </w:r>
          </w:p>
        </w:tc>
        <w:tc>
          <w:tcPr>
            <w:tcW w:w="567" w:type="dxa"/>
          </w:tcPr>
          <w:p w:rsidR="00276B67" w:rsidRDefault="00276B67" w:rsidP="00FF31E6">
            <w:pPr>
              <w:ind w:left="1134" w:hanging="567"/>
            </w:pPr>
          </w:p>
        </w:tc>
        <w:tc>
          <w:tcPr>
            <w:tcW w:w="4252" w:type="dxa"/>
          </w:tcPr>
          <w:p w:rsidR="00276B67" w:rsidRDefault="00276B67" w:rsidP="00FF31E6">
            <w:pPr>
              <w:ind w:left="1134" w:hanging="567"/>
            </w:pPr>
            <w:proofErr w:type="gramStart"/>
            <w:r>
              <w:t>nascido</w:t>
            </w:r>
            <w:proofErr w:type="gramEnd"/>
            <w:r>
              <w:t xml:space="preserve"> unigênito do Pai, isso é, da substância do Pai, Deus de Deus, luz da luz, Deus verdadeiro de Deus verdadeiro, nascido, não feito, consubstancial ao Pai; por meio do qual todas as coisas foram feitas, as no céu e as na terra;</w:t>
            </w:r>
          </w:p>
        </w:tc>
      </w:tr>
      <w:tr w:rsidR="00276B67" w:rsidTr="00FF31E6">
        <w:tc>
          <w:tcPr>
            <w:tcW w:w="4323" w:type="dxa"/>
          </w:tcPr>
          <w:p w:rsidR="00276B67" w:rsidRDefault="00276B67" w:rsidP="00FF31E6">
            <w:pPr>
              <w:ind w:left="1134" w:hanging="1134"/>
            </w:pPr>
            <w:r>
              <w:tab/>
            </w:r>
            <w:proofErr w:type="gramStart"/>
            <w:r>
              <w:t>o</w:t>
            </w:r>
            <w:proofErr w:type="gramEnd"/>
            <w:r>
              <w:t xml:space="preserve"> qual, por causa de nós homens e da nossa salvação, desceu e se encarnou, se humanou, padeceu, e ressuscitou ao terceiro dia, [e] subiu aos céus, havendo de vir julgar os vivos e os mortos;</w:t>
            </w:r>
          </w:p>
        </w:tc>
        <w:tc>
          <w:tcPr>
            <w:tcW w:w="567" w:type="dxa"/>
          </w:tcPr>
          <w:p w:rsidR="00276B67" w:rsidRDefault="00276B67" w:rsidP="00FF31E6">
            <w:pPr>
              <w:ind w:left="1134" w:hanging="567"/>
            </w:pPr>
          </w:p>
        </w:tc>
        <w:tc>
          <w:tcPr>
            <w:tcW w:w="4252" w:type="dxa"/>
          </w:tcPr>
          <w:p w:rsidR="00276B67" w:rsidRDefault="00276B67" w:rsidP="00FF31E6">
            <w:pPr>
              <w:ind w:left="1134" w:hanging="567"/>
            </w:pPr>
            <w:proofErr w:type="gramStart"/>
            <w:r>
              <w:t>o</w:t>
            </w:r>
            <w:proofErr w:type="gramEnd"/>
            <w:r>
              <w:t xml:space="preserve"> qual, por causa de nossa salvação desceu, se encarnou e se fez homem, e padeceu, e ressuscitou ao terceiro dia, e subiu aos céus, havendo de vir julgar os vivos e os mortos.</w:t>
            </w:r>
          </w:p>
          <w:p w:rsidR="00276B67" w:rsidRDefault="00276B67" w:rsidP="00FF31E6">
            <w:pPr>
              <w:ind w:firstLine="0"/>
            </w:pPr>
          </w:p>
        </w:tc>
      </w:tr>
      <w:tr w:rsidR="00276B67" w:rsidTr="00FF31E6">
        <w:tc>
          <w:tcPr>
            <w:tcW w:w="4323" w:type="dxa"/>
          </w:tcPr>
          <w:p w:rsidR="00276B67" w:rsidRDefault="00276B67" w:rsidP="00FF31E6">
            <w:pPr>
              <w:ind w:firstLine="0"/>
            </w:pPr>
            <w:proofErr w:type="gramStart"/>
            <w:r>
              <w:t>e</w:t>
            </w:r>
            <w:proofErr w:type="gramEnd"/>
            <w:r>
              <w:t xml:space="preserve"> no Espírito Santo.</w:t>
            </w:r>
          </w:p>
        </w:tc>
        <w:tc>
          <w:tcPr>
            <w:tcW w:w="567" w:type="dxa"/>
          </w:tcPr>
          <w:p w:rsidR="00276B67" w:rsidRDefault="00276B67" w:rsidP="00FF31E6">
            <w:pPr>
              <w:ind w:firstLine="0"/>
            </w:pPr>
          </w:p>
        </w:tc>
        <w:tc>
          <w:tcPr>
            <w:tcW w:w="4252" w:type="dxa"/>
          </w:tcPr>
          <w:p w:rsidR="00276B67" w:rsidRDefault="00276B67" w:rsidP="00FF31E6">
            <w:pPr>
              <w:ind w:firstLine="0"/>
            </w:pPr>
            <w:r>
              <w:t>E no Espírito Santo.</w:t>
            </w:r>
          </w:p>
        </w:tc>
      </w:tr>
    </w:tbl>
    <w:p w:rsidR="00276B67" w:rsidRDefault="00276B67" w:rsidP="00276B67">
      <w:pPr>
        <w:ind w:left="1134" w:hanging="1134"/>
      </w:pPr>
    </w:p>
    <w:tbl>
      <w:tblPr>
        <w:tblW w:w="0" w:type="auto"/>
        <w:tblLayout w:type="fixed"/>
        <w:tblCellMar>
          <w:left w:w="70" w:type="dxa"/>
          <w:right w:w="70" w:type="dxa"/>
        </w:tblCellMar>
        <w:tblLook w:val="0000" w:firstRow="0" w:lastRow="0" w:firstColumn="0" w:lastColumn="0" w:noHBand="0" w:noVBand="0"/>
      </w:tblPr>
      <w:tblGrid>
        <w:gridCol w:w="4323"/>
        <w:gridCol w:w="567"/>
        <w:gridCol w:w="4252"/>
      </w:tblGrid>
      <w:tr w:rsidR="00276B67" w:rsidTr="00FF31E6">
        <w:tc>
          <w:tcPr>
            <w:tcW w:w="4323" w:type="dxa"/>
          </w:tcPr>
          <w:p w:rsidR="00276B67" w:rsidRDefault="00276B67" w:rsidP="00FF31E6">
            <w:pPr>
              <w:ind w:firstLine="0"/>
            </w:pPr>
            <w:r>
              <w:t xml:space="preserve">Aqueles, porém, que dizem: “Houve um tempo em que não existia”, e: “Antes de ser gerado não existia”, e que veio a ser do que não é, ou que dizem ser o Filho de Deus de </w:t>
            </w:r>
            <w:proofErr w:type="gramStart"/>
            <w:r>
              <w:t>uma outra</w:t>
            </w:r>
            <w:proofErr w:type="gramEnd"/>
            <w:r>
              <w:t xml:space="preserve"> hipóstase ou substância </w:t>
            </w:r>
            <w:r>
              <w:rPr>
                <w:i/>
              </w:rPr>
              <w:t>ou criado</w:t>
            </w:r>
            <w:r>
              <w:t xml:space="preserve"> [–!], ou mutável ou alterável, &lt;a eles&gt; anatematiza a Igreja católica.</w:t>
            </w:r>
          </w:p>
        </w:tc>
        <w:tc>
          <w:tcPr>
            <w:tcW w:w="567" w:type="dxa"/>
          </w:tcPr>
          <w:p w:rsidR="00276B67" w:rsidRDefault="00276B67" w:rsidP="00FF31E6">
            <w:pPr>
              <w:ind w:firstLine="0"/>
            </w:pPr>
          </w:p>
        </w:tc>
        <w:tc>
          <w:tcPr>
            <w:tcW w:w="4252" w:type="dxa"/>
          </w:tcPr>
          <w:p w:rsidR="00276B67" w:rsidRDefault="00276B67" w:rsidP="00FF31E6">
            <w:pPr>
              <w:ind w:firstLine="0"/>
            </w:pPr>
            <w:r>
              <w:t>Aqueles, porém, que dizem: “Houve um tempo em que não existia” e: “Antes que nascesse não existia”, e que foi feito do que não existia, ou que dizem Deus ser de outra substância ou essência, ou ser mutável ou alterável, a eles anatematiza a Igreja católica.</w:t>
            </w:r>
          </w:p>
        </w:tc>
      </w:tr>
    </w:tbl>
    <w:p w:rsidR="00276B67" w:rsidRDefault="00276B67" w:rsidP="00276B67"/>
    <w:p w:rsidR="00C902A2" w:rsidRPr="00C902A2" w:rsidRDefault="00C902A2" w:rsidP="00C902A2">
      <w:pPr>
        <w:pStyle w:val="Ttulo3"/>
        <w:shd w:val="clear" w:color="auto" w:fill="D9D9D9" w:themeFill="background1" w:themeFillShade="D9"/>
        <w:rPr>
          <w:color w:val="auto"/>
        </w:rPr>
      </w:pPr>
      <w:r w:rsidRPr="00C902A2">
        <w:rPr>
          <w:color w:val="auto"/>
        </w:rPr>
        <w:t xml:space="preserve">I Concílio de CONSTANTINOPLA (2º ecumênico), mai. – 30 jul. </w:t>
      </w:r>
      <w:proofErr w:type="gramStart"/>
      <w:r w:rsidRPr="00C902A2">
        <w:rPr>
          <w:color w:val="auto"/>
        </w:rPr>
        <w:t>381</w:t>
      </w:r>
      <w:proofErr w:type="gramEnd"/>
    </w:p>
    <w:p w:rsidR="00C902A2" w:rsidRDefault="00C902A2" w:rsidP="00C902A2">
      <w:pPr>
        <w:pStyle w:val="Estilo1"/>
      </w:pPr>
      <w:r>
        <w:t>O sínodo “dos 150 Padres” definiu</w:t>
      </w:r>
      <w:proofErr w:type="gramStart"/>
      <w:r>
        <w:t xml:space="preserve"> sobretudo</w:t>
      </w:r>
      <w:proofErr w:type="gramEnd"/>
      <w:r>
        <w:t xml:space="preserve"> a divindade do Espírito Santo, contra os macedônios (</w:t>
      </w:r>
      <w:proofErr w:type="spellStart"/>
      <w:r>
        <w:t>pneumatômacos</w:t>
      </w:r>
      <w:proofErr w:type="spellEnd"/>
      <w:r>
        <w:t xml:space="preserve">). O </w:t>
      </w:r>
      <w:proofErr w:type="spellStart"/>
      <w:r>
        <w:t>cân</w:t>
      </w:r>
      <w:proofErr w:type="spellEnd"/>
      <w:r>
        <w:t xml:space="preserve">. </w:t>
      </w:r>
      <w:proofErr w:type="gramStart"/>
      <w:r>
        <w:t>1</w:t>
      </w:r>
      <w:proofErr w:type="gramEnd"/>
      <w:r>
        <w:t xml:space="preserve"> é dirigido contra os arianos de todo tipo: os seguidores de Apolinário de </w:t>
      </w:r>
      <w:proofErr w:type="spellStart"/>
      <w:r>
        <w:t>Laodicéia</w:t>
      </w:r>
      <w:proofErr w:type="spellEnd"/>
      <w:r>
        <w:t xml:space="preserve">, de </w:t>
      </w:r>
      <w:proofErr w:type="spellStart"/>
      <w:r>
        <w:t>Sabélio</w:t>
      </w:r>
      <w:proofErr w:type="spellEnd"/>
      <w:r>
        <w:t xml:space="preserve"> de </w:t>
      </w:r>
      <w:proofErr w:type="spellStart"/>
      <w:r>
        <w:t>Ptolemaide</w:t>
      </w:r>
      <w:proofErr w:type="spellEnd"/>
      <w:r>
        <w:t xml:space="preserve">, de Marcelo de Ancira, de </w:t>
      </w:r>
      <w:proofErr w:type="spellStart"/>
      <w:r>
        <w:t>Fotino</w:t>
      </w:r>
      <w:proofErr w:type="spellEnd"/>
      <w:r>
        <w:t xml:space="preserve"> de </w:t>
      </w:r>
      <w:proofErr w:type="spellStart"/>
      <w:r>
        <w:t>Sírmio</w:t>
      </w:r>
      <w:proofErr w:type="spellEnd"/>
      <w:r>
        <w:t xml:space="preserve">, de </w:t>
      </w:r>
      <w:proofErr w:type="spellStart"/>
      <w:r>
        <w:t>Eunômio</w:t>
      </w:r>
      <w:proofErr w:type="spellEnd"/>
      <w:r>
        <w:t xml:space="preserve"> de </w:t>
      </w:r>
      <w:proofErr w:type="spellStart"/>
      <w:r>
        <w:t>Cízico</w:t>
      </w:r>
      <w:proofErr w:type="spellEnd"/>
      <w:r>
        <w:t xml:space="preserve"> e de </w:t>
      </w:r>
      <w:proofErr w:type="spellStart"/>
      <w:r>
        <w:t>Eudóxio</w:t>
      </w:r>
      <w:proofErr w:type="spellEnd"/>
      <w:r>
        <w:t xml:space="preserve"> de Constantinopla. Este concílio foi chamado “ecumênico” já numa carta do sínodo local de Constantinopla (382) ao Papa Dâmaso (apud</w:t>
      </w:r>
      <w:r>
        <w:rPr>
          <w:i/>
        </w:rPr>
        <w:t xml:space="preserve"> </w:t>
      </w:r>
      <w:proofErr w:type="spellStart"/>
      <w:r>
        <w:t>Teodoreto</w:t>
      </w:r>
      <w:proofErr w:type="spellEnd"/>
      <w:r>
        <w:t xml:space="preserve"> de Ciro, </w:t>
      </w:r>
      <w:r>
        <w:rPr>
          <w:i/>
        </w:rPr>
        <w:t xml:space="preserve">Historia </w:t>
      </w:r>
      <w:proofErr w:type="spellStart"/>
      <w:r>
        <w:rPr>
          <w:i/>
        </w:rPr>
        <w:t>Ecclesiae</w:t>
      </w:r>
      <w:proofErr w:type="spellEnd"/>
      <w:r>
        <w:t xml:space="preserve"> V 9, 13, ed. </w:t>
      </w:r>
      <w:proofErr w:type="spellStart"/>
      <w:r>
        <w:t>Parmentier</w:t>
      </w:r>
      <w:proofErr w:type="spellEnd"/>
      <w:r>
        <w:t xml:space="preserve"> [</w:t>
      </w:r>
      <w:proofErr w:type="spellStart"/>
      <w:proofErr w:type="gramStart"/>
      <w:r>
        <w:t>GChSch</w:t>
      </w:r>
      <w:proofErr w:type="spellEnd"/>
      <w:proofErr w:type="gramEnd"/>
      <w:r>
        <w:t xml:space="preserve">] 293 / PG 82, 1217B), mas foi universalmente reconhecido como tal só muito mais tarde. Na Igreja ocidental – onde era visto como ofensivo o </w:t>
      </w:r>
      <w:proofErr w:type="spellStart"/>
      <w:r>
        <w:t>cân</w:t>
      </w:r>
      <w:proofErr w:type="spellEnd"/>
      <w:r>
        <w:t xml:space="preserve">. </w:t>
      </w:r>
      <w:proofErr w:type="gramStart"/>
      <w:r>
        <w:t>3</w:t>
      </w:r>
      <w:proofErr w:type="gramEnd"/>
      <w:r>
        <w:t xml:space="preserve">, que exigia para a sé da “Nova Roma” as prerrogativas de um </w:t>
      </w:r>
      <w:proofErr w:type="spellStart"/>
      <w:r>
        <w:t>patriarcato</w:t>
      </w:r>
      <w:proofErr w:type="spellEnd"/>
      <w:r>
        <w:t xml:space="preserve"> –, o sínodo foi recebido implicitamente, e somente quanto às afirmativas dogmáticas, pelo fato de o Papa </w:t>
      </w:r>
      <w:proofErr w:type="spellStart"/>
      <w:r>
        <w:t>Vigílio</w:t>
      </w:r>
      <w:proofErr w:type="spellEnd"/>
      <w:r>
        <w:t xml:space="preserve"> ter confirmado o II Concílio de Constantinopla (em 553). </w:t>
      </w:r>
    </w:p>
    <w:p w:rsidR="00C902A2" w:rsidRDefault="00C902A2" w:rsidP="00C902A2">
      <w:pPr>
        <w:pStyle w:val="Ttulo4"/>
      </w:pPr>
      <w:r>
        <w:lastRenderedPageBreak/>
        <w:t>150: Símbolo da fé constantinopolitano</w:t>
      </w:r>
    </w:p>
    <w:p w:rsidR="00C902A2" w:rsidRDefault="00C902A2" w:rsidP="00C902A2">
      <w:pPr>
        <w:pStyle w:val="Estilo1"/>
      </w:pPr>
      <w:r>
        <w:t>Desde o fim do século XVII, este Símbolo da fé é conhecido com o nome de “</w:t>
      </w:r>
      <w:proofErr w:type="spellStart"/>
      <w:r>
        <w:t>niceno-constantipolitano</w:t>
      </w:r>
      <w:proofErr w:type="spellEnd"/>
      <w:r>
        <w:t xml:space="preserve">”, como se fosse só um desenvolvimento ou ampliação do Símbolo </w:t>
      </w:r>
      <w:proofErr w:type="spellStart"/>
      <w:r>
        <w:t>niceno</w:t>
      </w:r>
      <w:proofErr w:type="spellEnd"/>
      <w:r>
        <w:t xml:space="preserve">. Não está claro se foi composto no concílio mesmo ou se já existia anteriormente; podemos sustentar esta última hipótese em vista do Símbolo mais breve de Epifânio (*42), que se encontra no </w:t>
      </w:r>
      <w:proofErr w:type="spellStart"/>
      <w:r>
        <w:rPr>
          <w:i/>
        </w:rPr>
        <w:t>Ancoratus</w:t>
      </w:r>
      <w:proofErr w:type="spellEnd"/>
      <w:r>
        <w:t xml:space="preserve"> (escrito em 374!) e que é muito semelhante ao Símbolo constantinopolitano. No século VI, foi adotado, em grande parte do Oriente, como Símbolo batismal. Logo teve importância maior do que o Símbolo </w:t>
      </w:r>
      <w:proofErr w:type="spellStart"/>
      <w:r>
        <w:t>niceno</w:t>
      </w:r>
      <w:proofErr w:type="spellEnd"/>
      <w:r>
        <w:t xml:space="preserve">, chegando a ser introduzido na liturgia da missa (primeiro pelo ano 480 por parte dos monofisitas em </w:t>
      </w:r>
      <w:proofErr w:type="spellStart"/>
      <w:r>
        <w:t>Antioquia</w:t>
      </w:r>
      <w:proofErr w:type="spellEnd"/>
      <w:r>
        <w:t xml:space="preserve">; em Constantinopla, antes de 518). Na Igreja ocidental aparece como profissão de fé dentro da missa pela primeira vez no III Sínodo de Toledo (589), </w:t>
      </w:r>
      <w:proofErr w:type="spellStart"/>
      <w:r>
        <w:t>cân</w:t>
      </w:r>
      <w:proofErr w:type="spellEnd"/>
      <w:r>
        <w:t xml:space="preserve">. </w:t>
      </w:r>
      <w:proofErr w:type="gramStart"/>
      <w:r>
        <w:t>2</w:t>
      </w:r>
      <w:proofErr w:type="gramEnd"/>
      <w:r>
        <w:t xml:space="preserve"> (</w:t>
      </w:r>
      <w:proofErr w:type="spellStart"/>
      <w:r>
        <w:t>MaC</w:t>
      </w:r>
      <w:proofErr w:type="spellEnd"/>
      <w:r>
        <w:t xml:space="preserve"> 9, 992s). Nesta versão se encontra também – pela primeira vez num documento do magistério –, o “</w:t>
      </w:r>
      <w:proofErr w:type="spellStart"/>
      <w:r>
        <w:t>Filioque</w:t>
      </w:r>
      <w:proofErr w:type="spellEnd"/>
      <w:r>
        <w:t>”, talvez acrescentado só depois da conclusão do sínodo; cf. *470. O “</w:t>
      </w:r>
      <w:proofErr w:type="spellStart"/>
      <w:r>
        <w:t>Filioque</w:t>
      </w:r>
      <w:proofErr w:type="spellEnd"/>
      <w:r>
        <w:t xml:space="preserve">”, do século VII em diante, causou fortes controvérsias teológicas. Depois que o uso deste acréscimo já estava amplamente difundido (cf. a liturgia gálica na pesquisa de F.J. </w:t>
      </w:r>
      <w:proofErr w:type="spellStart"/>
      <w:r>
        <w:t>Mone</w:t>
      </w:r>
      <w:proofErr w:type="spellEnd"/>
      <w:r>
        <w:t xml:space="preserve">, o Sínodo de </w:t>
      </w:r>
      <w:proofErr w:type="spellStart"/>
      <w:r>
        <w:t>Friuli</w:t>
      </w:r>
      <w:proofErr w:type="spellEnd"/>
      <w:r>
        <w:t xml:space="preserve"> em 791 e o Sínodo de Frankfurt em 794), o Sínodo de Aachen, em 809, pediu a Leão III que o “</w:t>
      </w:r>
      <w:proofErr w:type="spellStart"/>
      <w:r>
        <w:t>Filioque</w:t>
      </w:r>
      <w:proofErr w:type="spellEnd"/>
      <w:r>
        <w:t>” fosse acolhido no Símbolo de toda a Igreja. O Papa não acolheu o pedido, não porque repudiasse a fórmula, mas porque não queria acrescentar algo ao Símbolo transmitido pela tradição. Mais tarde, o imperador Henrique II, por ocasião de sua coroação no ano 1014, obteve de Bento VIII que, em Roma, durante a missa se cantasse o Símbolo da fé com o acréscimo do “</w:t>
      </w:r>
      <w:proofErr w:type="spellStart"/>
      <w:r>
        <w:t>Filioque</w:t>
      </w:r>
      <w:proofErr w:type="spellEnd"/>
      <w:r>
        <w:t xml:space="preserve">”. Enfim, nos concílios ecumênicos de </w:t>
      </w:r>
      <w:proofErr w:type="spellStart"/>
      <w:r>
        <w:t>Lião</w:t>
      </w:r>
      <w:proofErr w:type="spellEnd"/>
      <w:r>
        <w:t xml:space="preserve"> II (1274) e de Florença (1439), foi reconhecido tanto pelos latinos como por alguns gregos (cf. *853; 1302). </w:t>
      </w:r>
    </w:p>
    <w:tbl>
      <w:tblPr>
        <w:tblW w:w="0" w:type="auto"/>
        <w:tblLayout w:type="fixed"/>
        <w:tblCellMar>
          <w:left w:w="70" w:type="dxa"/>
          <w:right w:w="70" w:type="dxa"/>
        </w:tblCellMar>
        <w:tblLook w:val="0000" w:firstRow="0" w:lastRow="0" w:firstColumn="0" w:lastColumn="0" w:noHBand="0" w:noVBand="0"/>
      </w:tblPr>
      <w:tblGrid>
        <w:gridCol w:w="4323"/>
        <w:gridCol w:w="567"/>
        <w:gridCol w:w="4254"/>
      </w:tblGrid>
      <w:tr w:rsidR="00C902A2" w:rsidTr="00FF31E6">
        <w:tc>
          <w:tcPr>
            <w:tcW w:w="4323" w:type="dxa"/>
          </w:tcPr>
          <w:p w:rsidR="00C902A2" w:rsidRDefault="00C902A2" w:rsidP="00FF31E6">
            <w:pPr>
              <w:pStyle w:val="Ttulo5"/>
            </w:pPr>
            <w:r>
              <w:t>[Versão grega]</w:t>
            </w:r>
          </w:p>
          <w:p w:rsidR="00C902A2" w:rsidRDefault="00C902A2" w:rsidP="00FF31E6">
            <w:pPr>
              <w:ind w:left="1134" w:hanging="1134"/>
            </w:pPr>
            <w:r>
              <w:t>Cremos em um só Deus, Pai onipotente, artífice do céu e da terra, de todas as coisas visíveis e invisíveis.</w:t>
            </w:r>
          </w:p>
        </w:tc>
        <w:tc>
          <w:tcPr>
            <w:tcW w:w="567" w:type="dxa"/>
          </w:tcPr>
          <w:p w:rsidR="00C902A2" w:rsidRDefault="00C902A2" w:rsidP="00FF31E6">
            <w:pPr>
              <w:pStyle w:val="Ttulo5"/>
            </w:pPr>
          </w:p>
        </w:tc>
        <w:tc>
          <w:tcPr>
            <w:tcW w:w="4254" w:type="dxa"/>
          </w:tcPr>
          <w:p w:rsidR="00C902A2" w:rsidRDefault="00C902A2" w:rsidP="00FF31E6">
            <w:pPr>
              <w:pStyle w:val="Ttulo5"/>
            </w:pPr>
            <w:r>
              <w:t>[Versão latina]</w:t>
            </w:r>
          </w:p>
          <w:p w:rsidR="00C902A2" w:rsidRDefault="00C902A2" w:rsidP="00FF31E6">
            <w:pPr>
              <w:ind w:left="1134" w:hanging="1134"/>
            </w:pPr>
            <w:r>
              <w:t xml:space="preserve">Creio em um só Deus, Pai onipotente, criador do céu e da terra, de todas as coisas visíveis e invisíveis. </w:t>
            </w:r>
          </w:p>
        </w:tc>
      </w:tr>
      <w:tr w:rsidR="00C902A2" w:rsidTr="00FF31E6">
        <w:tc>
          <w:tcPr>
            <w:tcW w:w="4323" w:type="dxa"/>
          </w:tcPr>
          <w:p w:rsidR="00C902A2" w:rsidRDefault="00C902A2" w:rsidP="00FF31E6">
            <w:pPr>
              <w:ind w:left="1134" w:hanging="1134"/>
            </w:pPr>
            <w:r>
              <w:t>E em um só senhor Jesus Cristo, filho unigênito de Deus,</w:t>
            </w:r>
          </w:p>
        </w:tc>
        <w:tc>
          <w:tcPr>
            <w:tcW w:w="567" w:type="dxa"/>
          </w:tcPr>
          <w:p w:rsidR="00C902A2" w:rsidRDefault="00C902A2" w:rsidP="00FF31E6">
            <w:pPr>
              <w:ind w:left="1134" w:hanging="1134"/>
            </w:pPr>
          </w:p>
        </w:tc>
        <w:tc>
          <w:tcPr>
            <w:tcW w:w="4254" w:type="dxa"/>
          </w:tcPr>
          <w:p w:rsidR="00C902A2" w:rsidRDefault="00C902A2" w:rsidP="00FF31E6">
            <w:pPr>
              <w:ind w:left="1134" w:hanging="1134"/>
            </w:pPr>
            <w:r>
              <w:t xml:space="preserve">E em um só Senhor Jesus Cristo, unigênito Filho de </w:t>
            </w:r>
            <w:proofErr w:type="gramStart"/>
            <w:r>
              <w:t>Deus</w:t>
            </w:r>
            <w:proofErr w:type="gramEnd"/>
          </w:p>
        </w:tc>
      </w:tr>
      <w:tr w:rsidR="00C902A2" w:rsidTr="00FF31E6">
        <w:tc>
          <w:tcPr>
            <w:tcW w:w="4323" w:type="dxa"/>
          </w:tcPr>
          <w:p w:rsidR="00C902A2" w:rsidRDefault="00C902A2" w:rsidP="00FF31E6">
            <w:pPr>
              <w:ind w:left="1134" w:hanging="567"/>
            </w:pPr>
            <w:proofErr w:type="gramStart"/>
            <w:r>
              <w:t>gerado</w:t>
            </w:r>
            <w:proofErr w:type="gramEnd"/>
            <w:r>
              <w:t xml:space="preserve"> pelo Pai antes de todos os séculos, Deus de Deus, luz da luz, Deus verdadeiro de Deus verdadeiro, gerado, não feito, consubstancial ao Pai; por meio do qual tudo veio a ser;</w:t>
            </w:r>
          </w:p>
        </w:tc>
        <w:tc>
          <w:tcPr>
            <w:tcW w:w="567" w:type="dxa"/>
          </w:tcPr>
          <w:p w:rsidR="00C902A2" w:rsidRDefault="00C902A2" w:rsidP="00FF31E6">
            <w:pPr>
              <w:ind w:left="1134" w:hanging="567"/>
            </w:pPr>
          </w:p>
        </w:tc>
        <w:tc>
          <w:tcPr>
            <w:tcW w:w="4254" w:type="dxa"/>
          </w:tcPr>
          <w:p w:rsidR="00C902A2" w:rsidRDefault="00C902A2" w:rsidP="00FF31E6">
            <w:pPr>
              <w:ind w:left="1134" w:hanging="567"/>
            </w:pPr>
            <w:proofErr w:type="gramStart"/>
            <w:r>
              <w:t>e</w:t>
            </w:r>
            <w:proofErr w:type="gramEnd"/>
            <w:r>
              <w:t xml:space="preserve"> nascido do Pai antes de todos os séculos, Deus de Deus, luz da luz, Deus verdadeiro de Deus verdadeiro, gerado, não feito, consubstancial ao Pai; por meio do qual tudo foi feito;</w:t>
            </w:r>
          </w:p>
        </w:tc>
      </w:tr>
      <w:tr w:rsidR="00C902A2" w:rsidTr="00FF31E6">
        <w:tc>
          <w:tcPr>
            <w:tcW w:w="4323" w:type="dxa"/>
          </w:tcPr>
          <w:p w:rsidR="00C902A2" w:rsidRDefault="00C902A2" w:rsidP="00FF31E6">
            <w:pPr>
              <w:ind w:left="1134" w:hanging="567"/>
            </w:pPr>
            <w:proofErr w:type="gramStart"/>
            <w:r>
              <w:t>o</w:t>
            </w:r>
            <w:proofErr w:type="gramEnd"/>
            <w:r>
              <w:t xml:space="preserve"> qual, por causa de nós homens e da nossa salvação, desceu dos céus, e se encarnou, do Espírito Santo e Maria, a Virgem, e se humanou; que também foi crucificado por nós, sob </w:t>
            </w:r>
            <w:proofErr w:type="spellStart"/>
            <w:r>
              <w:t>Pôncio</w:t>
            </w:r>
            <w:proofErr w:type="spellEnd"/>
            <w:r>
              <w:t xml:space="preserve"> Pilatos, e padeceu e foi sepultado e ressuscitou no terceiro dia, segundo as Escrituras, e subiu aos céus e está sentado à direita do Pai; e virá novamente na glória para julgar os vivos e os mortos; cujo reino não terá fim. </w:t>
            </w:r>
          </w:p>
        </w:tc>
        <w:tc>
          <w:tcPr>
            <w:tcW w:w="567" w:type="dxa"/>
          </w:tcPr>
          <w:p w:rsidR="00C902A2" w:rsidRDefault="00C902A2" w:rsidP="00FF31E6">
            <w:pPr>
              <w:ind w:left="1134" w:hanging="567"/>
            </w:pPr>
          </w:p>
        </w:tc>
        <w:tc>
          <w:tcPr>
            <w:tcW w:w="4254" w:type="dxa"/>
          </w:tcPr>
          <w:p w:rsidR="00C902A2" w:rsidRDefault="00C902A2" w:rsidP="00FF31E6">
            <w:pPr>
              <w:ind w:left="1134" w:hanging="567"/>
            </w:pPr>
            <w:proofErr w:type="gramStart"/>
            <w:r>
              <w:t>o</w:t>
            </w:r>
            <w:proofErr w:type="gramEnd"/>
            <w:r>
              <w:t xml:space="preserve"> qual, por causa de nós homens e da nossa salvação, desceu dos céus, e se encarnou, do Espírito Santo, &lt;do seio&gt; de Maria Virgem, e se fez homem; que também foi crucificado por nós, sob </w:t>
            </w:r>
            <w:proofErr w:type="spellStart"/>
            <w:r>
              <w:t>Poncio</w:t>
            </w:r>
            <w:proofErr w:type="spellEnd"/>
            <w:r>
              <w:t xml:space="preserve"> Pilatos, padeceu e foi sepultado, e ressuscitou no terceiro dia, segundo as Escrituras, e subiu ao céu, está sentado à direita do Pai e virá novamente para julgar os vivos e os mortos; cujo reino não terá fim.</w:t>
            </w:r>
          </w:p>
        </w:tc>
      </w:tr>
      <w:tr w:rsidR="00C902A2" w:rsidTr="00FF31E6">
        <w:tc>
          <w:tcPr>
            <w:tcW w:w="4323" w:type="dxa"/>
          </w:tcPr>
          <w:p w:rsidR="00C902A2" w:rsidRDefault="00C902A2" w:rsidP="00FF31E6">
            <w:pPr>
              <w:ind w:left="1134" w:hanging="1134"/>
            </w:pPr>
            <w:r>
              <w:t xml:space="preserve">E no Espírito Santo, Senhor e vivificador, que procede do Pai, que junto com o Pai e o Filho deve ser </w:t>
            </w:r>
            <w:proofErr w:type="spellStart"/>
            <w:r>
              <w:t>coadorado</w:t>
            </w:r>
            <w:proofErr w:type="spellEnd"/>
            <w:r>
              <w:t xml:space="preserve"> e </w:t>
            </w:r>
            <w:proofErr w:type="spellStart"/>
            <w:r>
              <w:t>conglorificado</w:t>
            </w:r>
            <w:proofErr w:type="spellEnd"/>
            <w:r>
              <w:t xml:space="preserve">, que falou por meio dos profetas. Na Igreja </w:t>
            </w:r>
            <w:proofErr w:type="gramStart"/>
            <w:r>
              <w:t>una,</w:t>
            </w:r>
            <w:proofErr w:type="gramEnd"/>
            <w:r>
              <w:t xml:space="preserve"> santa, católica e apostólica. Confessamos um só batismo </w:t>
            </w:r>
            <w:r>
              <w:lastRenderedPageBreak/>
              <w:t>para a remissão dos pecados. Esperamos a ressurreição dos mortos e a vida do século vindouro. Amém.</w:t>
            </w:r>
          </w:p>
          <w:p w:rsidR="00C902A2" w:rsidRDefault="00C902A2" w:rsidP="00FF31E6"/>
        </w:tc>
        <w:tc>
          <w:tcPr>
            <w:tcW w:w="567" w:type="dxa"/>
          </w:tcPr>
          <w:p w:rsidR="00C902A2" w:rsidRDefault="00C902A2" w:rsidP="00FF31E6">
            <w:pPr>
              <w:ind w:left="1134" w:hanging="1134"/>
            </w:pPr>
          </w:p>
        </w:tc>
        <w:tc>
          <w:tcPr>
            <w:tcW w:w="4254" w:type="dxa"/>
          </w:tcPr>
          <w:p w:rsidR="00C902A2" w:rsidRDefault="00C902A2" w:rsidP="00FF31E6">
            <w:pPr>
              <w:ind w:left="1134" w:hanging="1134"/>
            </w:pPr>
            <w:r>
              <w:t xml:space="preserve">E no Espírito Santo, Senhor e vivificador, que procede do Pai e do Filho, que com o Pai e o Filho ao mesmo tempo é adorado e </w:t>
            </w:r>
            <w:proofErr w:type="spellStart"/>
            <w:r>
              <w:t>conglorificado</w:t>
            </w:r>
            <w:proofErr w:type="spellEnd"/>
            <w:r>
              <w:t xml:space="preserve">, que falou por meio dos profetas. E a Igreja </w:t>
            </w:r>
            <w:proofErr w:type="gramStart"/>
            <w:r>
              <w:t>una,</w:t>
            </w:r>
            <w:proofErr w:type="gramEnd"/>
            <w:r>
              <w:t xml:space="preserve"> santa, católica e apostólica. Confesso um só </w:t>
            </w:r>
            <w:r>
              <w:lastRenderedPageBreak/>
              <w:t>batismo para a remissão dos pecados. E espero a ressurreição dos mortos e a vida do século vindouro. Amém.</w:t>
            </w:r>
          </w:p>
        </w:tc>
      </w:tr>
    </w:tbl>
    <w:p w:rsidR="00C902A2" w:rsidRDefault="00C902A2" w:rsidP="00C902A2">
      <w:pPr>
        <w:pStyle w:val="Ttulo4"/>
      </w:pPr>
      <w:r>
        <w:lastRenderedPageBreak/>
        <w:t>Cânones, 9 jul. 381</w:t>
      </w:r>
    </w:p>
    <w:p w:rsidR="00C902A2" w:rsidRDefault="00C902A2" w:rsidP="00C902A2">
      <w:pPr>
        <w:pStyle w:val="Ttulo5"/>
        <w:jc w:val="center"/>
      </w:pPr>
      <w:r>
        <w:t>Condenação de diversas heresias</w:t>
      </w:r>
    </w:p>
    <w:p w:rsidR="00C902A2" w:rsidRDefault="00C902A2" w:rsidP="00C902A2">
      <w:r>
        <w:t xml:space="preserve">1. Não &lt;deve&gt; ab-rogar-se a fé dos trezentos e dezoito santos Padres reunidos em Nicéia de </w:t>
      </w:r>
      <w:proofErr w:type="spellStart"/>
      <w:r>
        <w:t>Bitínia</w:t>
      </w:r>
      <w:proofErr w:type="spellEnd"/>
      <w:r>
        <w:t xml:space="preserve">, mas ela deve permanecer em vigor, e toda heresia ser anatematizada; e especialmente aquela dos </w:t>
      </w:r>
      <w:proofErr w:type="spellStart"/>
      <w:r>
        <w:t>eunomianos</w:t>
      </w:r>
      <w:proofErr w:type="spellEnd"/>
      <w:r>
        <w:t xml:space="preserve">, ou seja, dos </w:t>
      </w:r>
      <w:proofErr w:type="spellStart"/>
      <w:r>
        <w:t>anomeus</w:t>
      </w:r>
      <w:proofErr w:type="spellEnd"/>
      <w:r>
        <w:t xml:space="preserve">; a dos arianos, ou seja, dos </w:t>
      </w:r>
      <w:proofErr w:type="spellStart"/>
      <w:r>
        <w:t>eudoxianos</w:t>
      </w:r>
      <w:proofErr w:type="spellEnd"/>
      <w:r>
        <w:t xml:space="preserve">; e a dos </w:t>
      </w:r>
      <w:proofErr w:type="spellStart"/>
      <w:r>
        <w:t>semiarianos</w:t>
      </w:r>
      <w:proofErr w:type="spellEnd"/>
      <w:r>
        <w:t xml:space="preserve">, ou seja, dos </w:t>
      </w:r>
      <w:proofErr w:type="spellStart"/>
      <w:r>
        <w:t>pneumatômacos</w:t>
      </w:r>
      <w:proofErr w:type="spellEnd"/>
      <w:r>
        <w:t xml:space="preserve">; e dos </w:t>
      </w:r>
      <w:proofErr w:type="spellStart"/>
      <w:r>
        <w:t>sabelianos</w:t>
      </w:r>
      <w:proofErr w:type="spellEnd"/>
      <w:r>
        <w:t xml:space="preserve">, dos </w:t>
      </w:r>
      <w:proofErr w:type="spellStart"/>
      <w:r>
        <w:t>marcelianos</w:t>
      </w:r>
      <w:proofErr w:type="spellEnd"/>
      <w:r>
        <w:t xml:space="preserve">, dos </w:t>
      </w:r>
      <w:proofErr w:type="spellStart"/>
      <w:r>
        <w:t>fotinianos</w:t>
      </w:r>
      <w:proofErr w:type="spellEnd"/>
      <w:r>
        <w:t xml:space="preserve"> e dos </w:t>
      </w:r>
      <w:proofErr w:type="spellStart"/>
      <w:r>
        <w:t>apolinaristas</w:t>
      </w:r>
      <w:proofErr w:type="spellEnd"/>
      <w:r>
        <w:t>.</w:t>
      </w:r>
    </w:p>
    <w:p w:rsidR="00C902A2" w:rsidRDefault="00C902A2" w:rsidP="00276B67"/>
    <w:p w:rsidR="00C902A2" w:rsidRPr="00276B67" w:rsidRDefault="00C902A2" w:rsidP="00276B67"/>
    <w:p w:rsidR="00095CBF" w:rsidRDefault="00095CBF" w:rsidP="00095CBF">
      <w:pPr>
        <w:pStyle w:val="Ttulo4"/>
        <w:shd w:val="clear" w:color="auto" w:fill="A6A6A6" w:themeFill="background1" w:themeFillShade="A6"/>
      </w:pPr>
      <w:r>
        <w:t xml:space="preserve">XI Sínodo de TOLEDO, iniciado a 7 nov. 675: Profissão de fé - A divina Trindade </w:t>
      </w:r>
    </w:p>
    <w:p w:rsidR="00095CBF" w:rsidRDefault="00095CBF" w:rsidP="00095CBF">
      <w:r>
        <w:t>(1) Confessamos e cremos que a santa e inefável Trindade, Pai, Filho e Espírito Santo, por natureza é um só Deus de uma só substância, de uma só natureza, de uma só majestade e força.</w:t>
      </w:r>
    </w:p>
    <w:p w:rsidR="00095CBF" w:rsidRDefault="00095CBF" w:rsidP="00C902A2">
      <w:pPr>
        <w:pStyle w:val="Recuodecorpodetexto"/>
      </w:pPr>
      <w:r>
        <w:t xml:space="preserve">(2) E professamos que </w:t>
      </w:r>
      <w:r>
        <w:rPr>
          <w:spacing w:val="40"/>
          <w:u w:val="single"/>
        </w:rPr>
        <w:t>o Pai</w:t>
      </w:r>
      <w:r>
        <w:t xml:space="preserve"> é gerado, não criado, ingênito. Ele de fato, não tem origem de ninguém, ele do qual o Filho teve o nascimento, bem como o Espírito Santo a procedência. Ele é, portanto, a fonte e a origem de toda a divindade. (3) Ele é também </w:t>
      </w:r>
      <w:r>
        <w:rPr>
          <w:i/>
        </w:rPr>
        <w:t>o Pai de sua essência, o qual de sua inefável substância gerou o Filho</w:t>
      </w:r>
      <w:r>
        <w:t xml:space="preserve"> [Ele mesmo, o Pai, isto é, a sua inefável substância, gerou inefavelmente o Filho da sua substancia] e, todavia, não gerou outra coisa senão o que ele mesmo é: Deus &lt;gerou&gt; Deus, luz &lt;gerou&gt; luz; dele é, por isso, “toda paternidade no céu e sobre a terra” [</w:t>
      </w:r>
      <w:proofErr w:type="spellStart"/>
      <w:r>
        <w:rPr>
          <w:i/>
        </w:rPr>
        <w:t>Ef</w:t>
      </w:r>
      <w:proofErr w:type="spellEnd"/>
      <w:r>
        <w:rPr>
          <w:i/>
        </w:rPr>
        <w:t xml:space="preserve"> 3,15</w:t>
      </w:r>
      <w:r>
        <w:t>].</w:t>
      </w:r>
    </w:p>
    <w:p w:rsidR="00095CBF" w:rsidRDefault="00095CBF" w:rsidP="00095CBF">
      <w:r>
        <w:t xml:space="preserve">(4) Professamos também que </w:t>
      </w:r>
      <w:r>
        <w:rPr>
          <w:spacing w:val="40"/>
          <w:u w:val="single"/>
        </w:rPr>
        <w:t>o Filho</w:t>
      </w:r>
      <w:r>
        <w:t>, nascido da substância do Pai, sem início, antes dos séculos, não foi</w:t>
      </w:r>
      <w:proofErr w:type="gramStart"/>
      <w:r>
        <w:t xml:space="preserve"> todavia</w:t>
      </w:r>
      <w:proofErr w:type="gramEnd"/>
      <w:r>
        <w:t xml:space="preserve"> criado: pois que nem o Pai existiu jamais sem o Filho, nem o Filho sem o Pai. (5) E, porém, o Pai não é do Filho como o Filho do Pai, pois o Pai não recebeu a geração do Filho, mas o Filho do Pai. O Filho é</w:t>
      </w:r>
      <w:proofErr w:type="gramStart"/>
      <w:r>
        <w:t xml:space="preserve"> portanto</w:t>
      </w:r>
      <w:proofErr w:type="gramEnd"/>
      <w:r>
        <w:t xml:space="preserve"> Deus pelo Pai, o Pai ao invés é Deus, mas não pelo Filho; ele é de fato Pai do Filho, não Deus pelo Filho; este, ao contrário, é Filho do Pai e Deus pelo Pai. Todavia, o Filho é igual em tudo a Deus Pai, já que o seu nascimento nem teve início, nem cessou num determinado momento.</w:t>
      </w:r>
    </w:p>
    <w:p w:rsidR="00095CBF" w:rsidRDefault="00095CBF" w:rsidP="00095CBF">
      <w:r>
        <w:t xml:space="preserve">(6) Cremos também que ele é de uma só substância com o Pai, pelo que é chamado também </w:t>
      </w:r>
      <w:proofErr w:type="spellStart"/>
      <w:r>
        <w:t>ομοουσιος</w:t>
      </w:r>
      <w:proofErr w:type="spellEnd"/>
      <w:r>
        <w:t xml:space="preserve"> ao Pai, isto é, da mesma substância que o Pai; pois </w:t>
      </w:r>
      <w:proofErr w:type="spellStart"/>
      <w:r>
        <w:t>ομος</w:t>
      </w:r>
      <w:proofErr w:type="spellEnd"/>
      <w:r>
        <w:t xml:space="preserve">, em grego, significa “um”, </w:t>
      </w:r>
      <w:proofErr w:type="spellStart"/>
      <w:r>
        <w:t>ουσι</w:t>
      </w:r>
      <w:proofErr w:type="spellEnd"/>
      <w:r>
        <w:t>α “substância”, e os dois juntos significam “uma só substância”. O Filho, de fato, devemos crer, não foi gerado nem do nada, nem de qualquer outra substância, mas do seio do Pai, isto é, de sua substância.</w:t>
      </w:r>
    </w:p>
    <w:p w:rsidR="00095CBF" w:rsidRDefault="00095CBF" w:rsidP="00095CBF">
      <w:pPr>
        <w:pStyle w:val="Recuodecorpodetexto"/>
      </w:pPr>
      <w:r>
        <w:t>(7) Eterno é</w:t>
      </w:r>
      <w:proofErr w:type="gramStart"/>
      <w:r>
        <w:t xml:space="preserve"> portanto</w:t>
      </w:r>
      <w:proofErr w:type="gramEnd"/>
      <w:r>
        <w:t xml:space="preserve"> o Pai, eterno também o Filho. Se sempre, porém, foi Pai, teve sempre o Filho de quem era Pai, e</w:t>
      </w:r>
      <w:proofErr w:type="gramStart"/>
      <w:r>
        <w:t xml:space="preserve"> portanto</w:t>
      </w:r>
      <w:proofErr w:type="gramEnd"/>
      <w:r>
        <w:t xml:space="preserve"> professamos o Filho nascido do Pai sem início. (8) De fato, não o chamamos Filho de Deus por ter sido gerado pelo Pai como “parte de uma natureza separada”</w:t>
      </w:r>
      <w:r>
        <w:rPr>
          <w:vertAlign w:val="superscript"/>
        </w:rPr>
        <w:t> #</w:t>
      </w:r>
      <w:r>
        <w:rPr>
          <w:b/>
          <w:vertAlign w:val="superscript"/>
        </w:rPr>
        <w:t>1</w:t>
      </w:r>
      <w:r>
        <w:t xml:space="preserve">, mas afirmamos, sim, que o Pai perfeito gerou, sem diminuição e sem separação, um Filho perfeito, pois que somente à divindade compete não ter um Filho desigual. </w:t>
      </w:r>
    </w:p>
    <w:p w:rsidR="00095CBF" w:rsidRDefault="00095CBF" w:rsidP="00276B67">
      <w:r>
        <w:t>(9) Este Filho é também Filho por natureza, não por adoção</w:t>
      </w:r>
      <w:r>
        <w:rPr>
          <w:vertAlign w:val="superscript"/>
        </w:rPr>
        <w:t> #</w:t>
      </w:r>
      <w:r>
        <w:rPr>
          <w:b/>
          <w:vertAlign w:val="superscript"/>
        </w:rPr>
        <w:t>2</w:t>
      </w:r>
      <w:r>
        <w:t xml:space="preserve">, ele que Deus Pai, como </w:t>
      </w:r>
      <w:proofErr w:type="gramStart"/>
      <w:r>
        <w:t>devemos</w:t>
      </w:r>
      <w:proofErr w:type="gramEnd"/>
      <w:r>
        <w:t xml:space="preserve"> crer, gerou não por vontade, nem por necessidade, já que em Deus nem há qualquer necessidade, nem a vontade precede a sabedoria.</w:t>
      </w:r>
    </w:p>
    <w:p w:rsidR="00276B67" w:rsidRDefault="00095CBF" w:rsidP="00095CBF">
      <w:r>
        <w:t>(10) Cremos também que</w:t>
      </w:r>
      <w:r>
        <w:rPr>
          <w:rStyle w:val="ampliado2"/>
          <w:u w:val="single"/>
        </w:rPr>
        <w:t xml:space="preserve"> o </w:t>
      </w:r>
      <w:r>
        <w:rPr>
          <w:spacing w:val="40"/>
          <w:u w:val="single"/>
        </w:rPr>
        <w:t>Espírito Santo</w:t>
      </w:r>
      <w:r>
        <w:t>, que é a terceira pessoa na Trindade, é Deus um e igual com Deus Pai e Filho, da mesma substância e também da mesma natureza; todavia, não é gerado nem criado, mas procede de ambos e é o Espírito de ambos.</w:t>
      </w:r>
    </w:p>
    <w:p w:rsidR="00276B67" w:rsidRDefault="00095CBF" w:rsidP="00095CBF">
      <w:r>
        <w:t xml:space="preserve">(11) Este Espírito Santo não é, conforme a fé, nem gerado nem não gerado, para que não apareça que, chamando-o não gerado, estejamos falando de dois Pais e, chamando-o gerado, </w:t>
      </w:r>
      <w:r>
        <w:lastRenderedPageBreak/>
        <w:t>estejamos pregando dois Filhos; todavia ele não é chamado Espírito só do Pai, nem só do Filho, mas ao mesmo tempo do Pai e do Filho.</w:t>
      </w:r>
    </w:p>
    <w:p w:rsidR="00276B67" w:rsidRDefault="00095CBF" w:rsidP="00095CBF">
      <w:r>
        <w:t>(12) Não procede, de fato, do Pai no Filho, nem procede do Filho para santificar a criação, mas mostra-se que ele procedeu de ambos, já que é reconhecido como caridade ou santidade de ambos.</w:t>
      </w:r>
    </w:p>
    <w:p w:rsidR="00095CBF" w:rsidRDefault="00095CBF" w:rsidP="00276B67">
      <w:r>
        <w:t>(13) Este Espírito Santo, portanto, cremos, foi mandado por ambos, como o Filho [da parte do Pai]; mas não é tido como inferior ao Pai e ao Filho à maneira em que o Filho dá testemunho de ser inferior ao Pai e ao Espírito Santo por motivo da carne assumida.</w:t>
      </w:r>
    </w:p>
    <w:p w:rsidR="00276B67" w:rsidRDefault="00095CBF" w:rsidP="00095CBF">
      <w:r>
        <w:t>(14) Assim é que convém apresentar a santa</w:t>
      </w:r>
      <w:r>
        <w:rPr>
          <w:rStyle w:val="ampliado2"/>
          <w:u w:val="single"/>
        </w:rPr>
        <w:t xml:space="preserve"> </w:t>
      </w:r>
      <w:r>
        <w:rPr>
          <w:spacing w:val="40"/>
          <w:u w:val="single"/>
        </w:rPr>
        <w:t>Trindade</w:t>
      </w:r>
      <w:r>
        <w:t xml:space="preserve">: não se deve dizer e crer que ela seja tríplice, mas Trindade. Não se pode dizer de modo certo que no único Deus está a Trindade, mas que o único Deus é a Trindade. (15) Pelo nome das pessoas, porém, que exprime uma relação, o Pai é posto em referência ao Filho, o Filho ao Pai e o Espírito Santo a ambos: se bem que, em vista de sua relação, sejam chamadas três pessoas, estas são, todavia, conforme </w:t>
      </w:r>
      <w:proofErr w:type="gramStart"/>
      <w:r>
        <w:t>pregamos,</w:t>
      </w:r>
      <w:proofErr w:type="gramEnd"/>
      <w:r>
        <w:t xml:space="preserve"> uma só natureza ou substância. </w:t>
      </w:r>
    </w:p>
    <w:p w:rsidR="00276B67" w:rsidRDefault="00095CBF" w:rsidP="00095CBF">
      <w:r>
        <w:t xml:space="preserve">(16) E como </w:t>
      </w:r>
      <w:proofErr w:type="gramStart"/>
      <w:r>
        <w:t>três pessoas não pregamos</w:t>
      </w:r>
      <w:proofErr w:type="gramEnd"/>
      <w:r>
        <w:t xml:space="preserve"> três substâncias, mas sim uma única substância e três pessoas. </w:t>
      </w:r>
    </w:p>
    <w:p w:rsidR="00276B67" w:rsidRDefault="00095CBF" w:rsidP="00095CBF">
      <w:r>
        <w:t xml:space="preserve">(17) De fato, o que é o “Pai”, não o é em relação a si mesmo, mas ao Filho; e o que é o “Filho”, não o é em relação a si mesmo, mas ao Pai; de modo semelhante, também, o Espírito Santo não é referido em relação a si, mas ao Pai e ao Filho, sendo chamado Espírito do Pai e do Filho. </w:t>
      </w:r>
    </w:p>
    <w:p w:rsidR="00095CBF" w:rsidRDefault="00095CBF" w:rsidP="00276B67">
      <w:r>
        <w:t>(18) Igualmente, quando dizemos “Deus”, isto é dito não em relação a qualquer coisa, como o Pai &lt;em relação&gt; ao Filho, ou o Filho ao Pai, ou o Espírito Santo ao Pai e ao Filho, mas “Deus” é chamado &lt;assim&gt; de modo particular em relação a si mesmo.</w:t>
      </w:r>
    </w:p>
    <w:p w:rsidR="00276B67" w:rsidRDefault="00095CBF" w:rsidP="00095CBF">
      <w:r>
        <w:t>(19) De fato, se somos interrogados sobre cada uma das pessoas, devemos professar que é Deus. Por isso, o Pai é chamado Deus, o Filho, Deus e o Espírito Santo, Deus, cada qual singularmente; e</w:t>
      </w:r>
      <w:proofErr w:type="gramStart"/>
      <w:r>
        <w:t xml:space="preserve"> todavia</w:t>
      </w:r>
      <w:proofErr w:type="gramEnd"/>
      <w:r>
        <w:t xml:space="preserve"> não há três deuses, mas um só Deus.</w:t>
      </w:r>
    </w:p>
    <w:p w:rsidR="00276B67" w:rsidRDefault="00095CBF" w:rsidP="00095CBF">
      <w:r>
        <w:t>(20) Igualmente o Pai é chamado onipotente, o Filho, onipotente, o Espírito Santo, onipotente, cada qual singularmente; e</w:t>
      </w:r>
      <w:proofErr w:type="gramStart"/>
      <w:r>
        <w:t xml:space="preserve"> todavia</w:t>
      </w:r>
      <w:proofErr w:type="gramEnd"/>
      <w:r>
        <w:t xml:space="preserve"> não há três onipotentes, mas um só onipotente, como se fala de uma só luz e de um só princípio.</w:t>
      </w:r>
    </w:p>
    <w:p w:rsidR="00095CBF" w:rsidRDefault="00095CBF" w:rsidP="00276B67">
      <w:r>
        <w:t>(21) Portanto, professamos e cremos que cada pessoa, singularmente, é plenamente Deus, e todas as três pessoas são um só Deus: elas têm a única, indivisa e igual divindade, majestade ou poder, sem diminuição em cada uma, nem aumento nas três &lt;juntas&gt;, pois quando cada pessoa é chamada singularmente Deus, nada há a menos, nem a mais quando as três pessoas são proclamadas um só Deus.</w:t>
      </w:r>
    </w:p>
    <w:p w:rsidR="00276B67" w:rsidRDefault="00095CBF" w:rsidP="00095CBF">
      <w:r>
        <w:t xml:space="preserve">(22) Esta santa Trindade, que é o único e verdadeiro Deus, nem fica fora do número, nem é captada pelo número. Na relação das pessoas, de fato, se reconhece o número; na substância da divindade, porém, não é compreendido nada que seja enumerado. Por isso, só no que são em referência uma à outra é que insinuam o número; e no que são em relação a si mesmas deixam o número de lado. </w:t>
      </w:r>
    </w:p>
    <w:p w:rsidR="00095CBF" w:rsidRDefault="00095CBF" w:rsidP="00095CBF">
      <w:r>
        <w:t xml:space="preserve">(23) De fato, a esta santa Trindade convém um nome de natureza que seja único, de modo que não possa ser </w:t>
      </w:r>
      <w:proofErr w:type="gramStart"/>
      <w:r>
        <w:t>usado no plural para as três pessoas</w:t>
      </w:r>
      <w:proofErr w:type="gramEnd"/>
      <w:r>
        <w:t>. Por isso cremos também naquelas palavras das sagradas escrituras: “Grande é o nosso Deus e grande o seu poder, e para sua sabedoria não há número” [</w:t>
      </w:r>
      <w:proofErr w:type="spellStart"/>
      <w:r>
        <w:rPr>
          <w:i/>
        </w:rPr>
        <w:t>Sl</w:t>
      </w:r>
      <w:proofErr w:type="spellEnd"/>
      <w:r>
        <w:rPr>
          <w:i/>
        </w:rPr>
        <w:t xml:space="preserve"> 147,5</w:t>
      </w:r>
      <w:r>
        <w:t>].</w:t>
      </w:r>
    </w:p>
    <w:p w:rsidR="00276B67" w:rsidRDefault="00095CBF" w:rsidP="00095CBF">
      <w:r>
        <w:t>(24) Não poderemos dizer, porém, que, tendo declarado que estas três pessoas são um só Deus, o Pai seja o mesmo que o Filho e o Filho o mesmo que o Pai, ou que quem é o Espírito Santo seja o Pai ou o Filho.</w:t>
      </w:r>
    </w:p>
    <w:p w:rsidR="00095CBF" w:rsidRDefault="00095CBF" w:rsidP="00095CBF">
      <w:r>
        <w:t>(25) Pois quem é o Filho não é ele mesmo o Pai, nem quem é o Pai é ele mesmo o Filho, nem quem é o Pai ou o Filho é ele mesmo o Espírito Santo; todavia o Pai é isto mesmo que é o Filho, o Filho, isto mesmo que é o Pai, o Pai e o Filho, isto mesmo que é o Espírito Santo, isto é, um único Deus por natureza.</w:t>
      </w:r>
    </w:p>
    <w:p w:rsidR="00095CBF" w:rsidRDefault="00095CBF" w:rsidP="00276B67">
      <w:r>
        <w:t xml:space="preserve">(26) De fato, quando dizemos que o Pai não é o mesmo que o Filho, isso se refere à distinção das pessoas. Quando, porém, dizemos que o Pai é isto que é o Filho, o Filho isto que é o Pai e o </w:t>
      </w:r>
      <w:r>
        <w:lastRenderedPageBreak/>
        <w:t xml:space="preserve">Espírito Santo isto que é o Pai e o Filho, isso se refere evidentemente à natureza da qual Deus é, ou à substância, já que, quanto à substância, </w:t>
      </w:r>
      <w:proofErr w:type="gramStart"/>
      <w:r>
        <w:t>são</w:t>
      </w:r>
      <w:proofErr w:type="gramEnd"/>
      <w:r>
        <w:t xml:space="preserve"> uma só realidade: distinguimos, de fato, as pessoas, &lt;mas&gt; não dividimos a divindade.</w:t>
      </w:r>
    </w:p>
    <w:p w:rsidR="00276B67" w:rsidRDefault="00095CBF" w:rsidP="00095CBF">
      <w:r>
        <w:t xml:space="preserve">(27) A Trindade, portanto, nós a reconhecemos na distinção das pessoas; a unidade, nós a professamos em vista da natureza ou da substância. Estas três, portanto, </w:t>
      </w:r>
      <w:proofErr w:type="gramStart"/>
      <w:r>
        <w:t>são</w:t>
      </w:r>
      <w:proofErr w:type="gramEnd"/>
      <w:r>
        <w:t xml:space="preserve"> uma só realidade, isto é, quanto à natureza, não quanto às pessoas.</w:t>
      </w:r>
    </w:p>
    <w:p w:rsidR="00276B67" w:rsidRDefault="00095CBF" w:rsidP="00095CBF">
      <w:r>
        <w:t>(28) Todavia, estas três pessoas não devem ser consideradas separáveis, já que, segundo cremos, nenhuma existiu jamais ou tem operado qualquer coisa antes das outras, nenhuma depois das outras, nenhuma sem as outras.</w:t>
      </w:r>
    </w:p>
    <w:p w:rsidR="00276B67" w:rsidRDefault="00095CBF" w:rsidP="00095CBF">
      <w:r>
        <w:t xml:space="preserve">(29) De fato, vemos que são inseparáveis quer naquilo que são, quer naquilo que fazem: já que entre o Pai, que </w:t>
      </w:r>
      <w:proofErr w:type="gramStart"/>
      <w:r>
        <w:t>gera,</w:t>
      </w:r>
      <w:proofErr w:type="gramEnd"/>
      <w:r>
        <w:t xml:space="preserve"> e o Filho, que foi gerado, e o Espírito Santo, que &lt;deles&gt; procede, não houve, segundo nossa fé, nenhum intervalo de tempo no qual o genitor tivesse precedido o gerado, ou o gerado tivesse faltado ao genitor, ou o Espírito Santo procedente do Pai e do Filho tivesse aparecido mais tarde.</w:t>
      </w:r>
    </w:p>
    <w:p w:rsidR="00276B67" w:rsidRDefault="00095CBF" w:rsidP="00095CBF">
      <w:r>
        <w:t xml:space="preserve">(30) Por isso, declaramos e acreditamos inseparável e </w:t>
      </w:r>
      <w:proofErr w:type="spellStart"/>
      <w:r>
        <w:t>inconfusa</w:t>
      </w:r>
      <w:proofErr w:type="spellEnd"/>
      <w:r>
        <w:t xml:space="preserve"> esta Trindade. Se, portanto, de acordo com a doutrina dos antepassados, se fala nestas três pessoas, é para que sejam reconhecidas, não para que sejam separadas.</w:t>
      </w:r>
    </w:p>
    <w:p w:rsidR="00276B67" w:rsidRDefault="00095CBF" w:rsidP="00095CBF">
      <w:r>
        <w:t>(31) De fato, se prestamos atenção ao que a santa Escritura diz da Sabedoria: “É o esplendor da luz eterna” [</w:t>
      </w:r>
      <w:proofErr w:type="spellStart"/>
      <w:r>
        <w:rPr>
          <w:i/>
        </w:rPr>
        <w:t>Sl</w:t>
      </w:r>
      <w:proofErr w:type="spellEnd"/>
      <w:r>
        <w:rPr>
          <w:i/>
        </w:rPr>
        <w:t xml:space="preserve"> 7,26</w:t>
      </w:r>
      <w:r>
        <w:t>], então, assim como vemos que o esplendor é inseparavelmente inerente à luz, professamos também que o Filho não pode ser separado do Pai.</w:t>
      </w:r>
    </w:p>
    <w:p w:rsidR="00095CBF" w:rsidRDefault="00095CBF" w:rsidP="00276B67">
      <w:r>
        <w:t>(32) Portanto, assim como não confundimos estas três pessoas, que são de uma só e inseparável natureza, declaramos também que são absolutamente inseparáveis.</w:t>
      </w:r>
    </w:p>
    <w:p w:rsidR="00276B67" w:rsidRDefault="00095CBF" w:rsidP="00095CBF">
      <w:r>
        <w:t>(33) Em verdade, a própria Trindade se dignou mostrar-nos isso de maneira tão clara que mesmo com os nomes com os quais segundo o seu querer as pessoas são reconhecidas singularmente, não permite que uma seja compreendida sem a outra: de fato nem o Pai é reconhecido sem o Filho, nem</w:t>
      </w:r>
      <w:r w:rsidR="00276B67">
        <w:t xml:space="preserve"> se encontra o Filho sem o Pai.</w:t>
      </w:r>
    </w:p>
    <w:p w:rsidR="00276B67" w:rsidRDefault="00095CBF" w:rsidP="00095CBF">
      <w:r>
        <w:t>(34) Em verdade, a própria relação &lt;expressa&gt; pelo nome das pessoas proíbe separar as pessoas: de fato, enquanto não as expressa ao mesmo tempo, alude a elas ao mesmo tempo. Ninguém</w:t>
      </w:r>
      <w:proofErr w:type="gramStart"/>
      <w:r>
        <w:t xml:space="preserve"> pois</w:t>
      </w:r>
      <w:proofErr w:type="gramEnd"/>
      <w:r>
        <w:t xml:space="preserve">, pode ouvir um destes nomes sem ser obrigado a compreender junto também o outro. </w:t>
      </w:r>
    </w:p>
    <w:p w:rsidR="00095CBF" w:rsidRDefault="00095CBF" w:rsidP="00095CBF">
      <w:r>
        <w:t>(35) Portanto, se bem que estas três sejam uma só realidade, e a única realidade, três, todavia permanece para cada uma das pessoas o que lhe é próprio. O Pai tem a eternidade sem nascimento, o Filho a eternidade com o nascimento, o Espírito Santo o proceder sem nascimento, com a eternidade.</w:t>
      </w:r>
    </w:p>
    <w:p w:rsidR="00D92EF1" w:rsidRDefault="00D92EF1" w:rsidP="00D92EF1">
      <w:pPr>
        <w:pStyle w:val="Ttulo4"/>
      </w:pPr>
    </w:p>
    <w:p w:rsidR="00D92EF1" w:rsidRDefault="00D92EF1" w:rsidP="00095CBF">
      <w:pPr>
        <w:pStyle w:val="Ttulo4"/>
        <w:shd w:val="clear" w:color="auto" w:fill="A6A6A6" w:themeFill="background1" w:themeFillShade="A6"/>
      </w:pPr>
      <w:r>
        <w:t>II Concílio de LIÃO (14</w:t>
      </w:r>
      <w:r>
        <w:rPr>
          <w:vertAlign w:val="superscript"/>
        </w:rPr>
        <w:t xml:space="preserve">o </w:t>
      </w:r>
      <w:r>
        <w:t>ecumênico), 7 mai. – 17 jul. 1274</w:t>
      </w:r>
    </w:p>
    <w:p w:rsidR="00C902A2" w:rsidRPr="00992E39" w:rsidRDefault="00C902A2" w:rsidP="00992E39">
      <w:pPr>
        <w:rPr>
          <w:i/>
        </w:rPr>
      </w:pPr>
      <w:r w:rsidRPr="00992E39">
        <w:rPr>
          <w:i/>
        </w:rPr>
        <w:t xml:space="preserve">Objeto das consultas foi, entre outros, a união com os gregos. A objeção de que a Igreja romana estaria ensinando que o Pai e o Filho seriam dois diversos princípios do </w:t>
      </w:r>
      <w:r w:rsidR="00992E39" w:rsidRPr="00992E39">
        <w:rPr>
          <w:i/>
        </w:rPr>
        <w:t>Espírito Santo, embora repelida</w:t>
      </w:r>
      <w:r w:rsidRPr="00992E39">
        <w:rPr>
          <w:i/>
        </w:rPr>
        <w:t xml:space="preserve">, foi logo depois repetida por alguns orientais. Na carta “Etsi Christus salvator”, de </w:t>
      </w:r>
      <w:proofErr w:type="gramStart"/>
      <w:r w:rsidRPr="00992E39">
        <w:rPr>
          <w:i/>
        </w:rPr>
        <w:t>4</w:t>
      </w:r>
      <w:proofErr w:type="gramEnd"/>
      <w:r w:rsidRPr="00992E39">
        <w:rPr>
          <w:i/>
        </w:rPr>
        <w:t xml:space="preserve"> mar. 1443, ela é no</w:t>
      </w:r>
      <w:r w:rsidR="00992E39" w:rsidRPr="00992E39">
        <w:rPr>
          <w:i/>
        </w:rPr>
        <w:t>vamente repelida por Eugênio IV</w:t>
      </w:r>
      <w:r w:rsidRPr="00992E39">
        <w:rPr>
          <w:i/>
        </w:rPr>
        <w:t xml:space="preserve">. Na sessão 4ª foi lida, na presença do Papa, a profissão de fé do imperador grego Miguel Paleólogo, contida na sua carta “Quoniam missi sunt”. Esta fórmula de profissão de fé já tinha sido proposta à assinatura do imperador por Clemente IV em 1267. Em 1º ago. 1385, esta fórmula foi prescrita por Urbano VI aos gregos que passavam para a Igreja Católica. Uma profissão de fé semelhante foi publicamente expressa pelo patriarca João XI Bekkos de Constantinopla e pelos </w:t>
      </w:r>
      <w:r w:rsidR="00992E39" w:rsidRPr="00992E39">
        <w:rPr>
          <w:i/>
        </w:rPr>
        <w:t>seus sinodais, em abril de 1277</w:t>
      </w:r>
      <w:r w:rsidRPr="00992E39">
        <w:rPr>
          <w:i/>
        </w:rPr>
        <w:t>.</w:t>
      </w:r>
    </w:p>
    <w:p w:rsidR="00D92EF1" w:rsidRDefault="00D92EF1" w:rsidP="00D92EF1">
      <w:pPr>
        <w:pStyle w:val="Ttulo4"/>
      </w:pPr>
      <w:r>
        <w:t>Sessão 2ª, 18 mai. 1274: Constituição sobre a Trindade e a fé católica - O proceder do Espírito Santo</w:t>
      </w:r>
    </w:p>
    <w:p w:rsidR="00D92EF1" w:rsidRDefault="00D92EF1" w:rsidP="00D92EF1">
      <w:r>
        <w:t xml:space="preserve">Com fiel e devota profissão, declaramos que o Espírito Santo procede eternamente do Pai e do Filho, não, porém, como de dois princípios, mas como de um só; não por duas espirações, mas por uma só. Isto foi até agora conservado, pregado e ensinado; isto crê firmemente, prega, confessa e </w:t>
      </w:r>
      <w:r>
        <w:lastRenderedPageBreak/>
        <w:t>ensina a sacrossanta Igreja romana, mãe e mestra de todos os fiéis. Está é a imutável e verdadeira doutrina dos Padres e Doutores ortodoxos, dos latinos como dos gregos.</w:t>
      </w:r>
    </w:p>
    <w:p w:rsidR="00D92EF1" w:rsidRDefault="00D92EF1" w:rsidP="00D92EF1">
      <w:r>
        <w:t>Mas, porque alguns, ignorando a irrecusável verdade agora acenada, caíram em vários erros, Nós, desejosos de fechar o caminho para esses erros, com o consentimento do santo Concílio, condenamos e reprovamos todos aqueles que ousem negar que o Espírito Santo prossegue eternamente do Pai e do Filho, ou também, afirmar temerariamente que o Espírito Santo procede do Pai e do Filho como de dois princípios e não como de um só.</w:t>
      </w:r>
    </w:p>
    <w:p w:rsidR="00095CBF" w:rsidRDefault="00095CBF" w:rsidP="00D92EF1"/>
    <w:p w:rsidR="00D92EF1" w:rsidRDefault="00D92EF1" w:rsidP="00D92EF1">
      <w:pPr>
        <w:pStyle w:val="Ttulo4"/>
      </w:pPr>
      <w:r>
        <w:t>851-861: Sessão 4ª, 6 jul. 1274: Carta do imperador Miguel ao Papa Gregório</w:t>
      </w:r>
    </w:p>
    <w:p w:rsidR="00D92EF1" w:rsidRDefault="00D92EF1" w:rsidP="00D92EF1">
      <w:pPr>
        <w:pStyle w:val="Ttulo5"/>
        <w:jc w:val="center"/>
      </w:pPr>
      <w:r>
        <w:t>Profissão de fé do imperador Miguel Paleólogo</w:t>
      </w:r>
    </w:p>
    <w:p w:rsidR="00D92EF1" w:rsidRDefault="00D92EF1" w:rsidP="00276B67">
      <w:r>
        <w:t>Nós cremos &lt;n&gt;a santa</w:t>
      </w:r>
      <w:r>
        <w:rPr>
          <w:rStyle w:val="ampliado2"/>
          <w:u w:val="single"/>
        </w:rPr>
        <w:t xml:space="preserve"> </w:t>
      </w:r>
      <w:r>
        <w:rPr>
          <w:spacing w:val="40"/>
          <w:u w:val="single"/>
        </w:rPr>
        <w:t>Trindade</w:t>
      </w:r>
      <w:r>
        <w:t xml:space="preserve">, Pai, Filho e Espírito Santo, um só Deus onipotente – e toda a divindade na Trindade, coessencial e consubstancial, </w:t>
      </w:r>
      <w:proofErr w:type="spellStart"/>
      <w:r>
        <w:t>coeterna</w:t>
      </w:r>
      <w:proofErr w:type="spellEnd"/>
      <w:r>
        <w:t xml:space="preserve"> e </w:t>
      </w:r>
      <w:proofErr w:type="spellStart"/>
      <w:r>
        <w:t>coonipotente</w:t>
      </w:r>
      <w:proofErr w:type="spellEnd"/>
      <w:r>
        <w:t xml:space="preserve">, de uma só vontade, poder e majestade –, criador de todas as criaturas, do qual tudo, no qual tudo, pelo qual tudo quanto existe no céu e na terra, as coisas visíveis, invisíveis, corpóreas e espirituais. Cremos que cada pessoa é, na Trindade, um só verdadeiro Deus pleno e perfeito. </w:t>
      </w:r>
    </w:p>
    <w:p w:rsidR="00D92EF1" w:rsidRDefault="00D92EF1" w:rsidP="00276B67">
      <w:pPr>
        <w:pStyle w:val="Recuodecorpodetexto"/>
      </w:pPr>
      <w:r>
        <w:t>Cremos &lt;n&gt;o</w:t>
      </w:r>
      <w:r>
        <w:rPr>
          <w:rStyle w:val="ampliado2"/>
          <w:u w:val="single"/>
        </w:rPr>
        <w:t xml:space="preserve"> </w:t>
      </w:r>
      <w:r>
        <w:rPr>
          <w:spacing w:val="40"/>
          <w:u w:val="single"/>
        </w:rPr>
        <w:t>Filho de Deus</w:t>
      </w:r>
      <w:r>
        <w:t xml:space="preserve">, o Verbo de Deus, nascido na eternidade do Pai, consubstancial, </w:t>
      </w:r>
      <w:proofErr w:type="spellStart"/>
      <w:r>
        <w:t>coonipotente</w:t>
      </w:r>
      <w:proofErr w:type="spellEnd"/>
      <w:r>
        <w:t xml:space="preserve"> e igual em tudo ao Pai na divindade, o mesmo nascido no tempo do Espírito Santo e de Maria sempre Virgem, com alma racional, tendo dois nascimentos, um nascimento eterno pelo Pai, outro no tempo pela mãe; &lt;ele é&gt; Deus verdadeiro e homem verdadeiro, próprio e perfeito numa e noutra natureza, não adotivo nem aparente, mas um só e único Filho de Deus em duas e de duas naturezas, isto é, a divina e a humana, na singularidade de uma só pessoa; impassível e imortal na divindade, todavia padeceu por nós e pela nossa salvação na humanidade, com verdadeiro padecimento da carne, morreu e foi sepultado e desceu aos infernos, e ao terceiro dia ressuscitou dentre os mortos com verdadeira ressurreição da carne; ao quadragésimo dia depois da ressurreição, com a carne na qual tinha ressuscitado e com a alma, subiu ao céu, e está sentado à direita de Deus Pai, de onde virá para julgar os vivos e os mortos, e retribuirá </w:t>
      </w:r>
      <w:proofErr w:type="gramStart"/>
      <w:r>
        <w:t>a cada um</w:t>
      </w:r>
      <w:proofErr w:type="gramEnd"/>
      <w:r>
        <w:t xml:space="preserve"> segundo as suas obras, conforme tenham sido boas ou más.</w:t>
      </w:r>
    </w:p>
    <w:p w:rsidR="00D92EF1" w:rsidRDefault="00D92EF1" w:rsidP="00D92EF1">
      <w:r>
        <w:t>Nós cremos também &lt;n&gt;o</w:t>
      </w:r>
      <w:r>
        <w:rPr>
          <w:rStyle w:val="ampliado2"/>
          <w:u w:val="single"/>
        </w:rPr>
        <w:t xml:space="preserve"> </w:t>
      </w:r>
      <w:r>
        <w:rPr>
          <w:spacing w:val="40"/>
          <w:u w:val="single"/>
        </w:rPr>
        <w:t>Esp</w:t>
      </w:r>
      <w:bookmarkStart w:id="0" w:name="_GoBack"/>
      <w:bookmarkEnd w:id="0"/>
      <w:r>
        <w:rPr>
          <w:spacing w:val="40"/>
          <w:u w:val="single"/>
        </w:rPr>
        <w:t>írito Santo</w:t>
      </w:r>
      <w:r>
        <w:t xml:space="preserve">, pleno e perfeito e verdadeiro Deus, que procede do Pai e do Filho, </w:t>
      </w:r>
      <w:proofErr w:type="spellStart"/>
      <w:r>
        <w:t>coigual</w:t>
      </w:r>
      <w:proofErr w:type="spellEnd"/>
      <w:r>
        <w:t xml:space="preserve">, consubstancial, </w:t>
      </w:r>
      <w:proofErr w:type="spellStart"/>
      <w:r>
        <w:t>coonipotente</w:t>
      </w:r>
      <w:proofErr w:type="spellEnd"/>
      <w:r>
        <w:t xml:space="preserve">, </w:t>
      </w:r>
      <w:proofErr w:type="spellStart"/>
      <w:r>
        <w:t>coeterno</w:t>
      </w:r>
      <w:proofErr w:type="spellEnd"/>
      <w:r>
        <w:t xml:space="preserve"> em tudo ao Pai e ao Filho. Cremos que esta santa Trindade não &lt;são&gt; três deuses, mas um único Deus onipotente, eterno, invisível e imutável.</w:t>
      </w:r>
    </w:p>
    <w:p w:rsidR="00095CBF" w:rsidRDefault="00095CBF" w:rsidP="00D92EF1"/>
    <w:p w:rsidR="00095CBF" w:rsidRDefault="00095CBF"/>
    <w:p w:rsidR="00D92EF1" w:rsidRDefault="00D92EF1" w:rsidP="00095CBF">
      <w:pPr>
        <w:pStyle w:val="Ttulo3"/>
        <w:shd w:val="clear" w:color="auto" w:fill="A6A6A6" w:themeFill="background1" w:themeFillShade="A6"/>
        <w:rPr>
          <w:color w:val="auto"/>
        </w:rPr>
      </w:pPr>
      <w:r w:rsidRPr="00095CBF">
        <w:rPr>
          <w:color w:val="auto"/>
        </w:rPr>
        <w:t>Concílio de FLORENÇA (17º ecumênico): 26 fev. 1439 – ago. (?) 1445</w:t>
      </w:r>
    </w:p>
    <w:p w:rsidR="00992E39" w:rsidRDefault="00992E39" w:rsidP="00992E39">
      <w:pPr>
        <w:pStyle w:val="Estilo1"/>
      </w:pPr>
      <w:r>
        <w:t xml:space="preserve">O concílio convocado para Florença é enumerado juntamente com o de Basiléia e de Ferrara, do qual é a continuação, como o 17º ecumênico. Em 23 de julho de 1431, o concílio foi iniciado em Basiléia; mas já em 18 dez. 1431 Eugênio IV, com a bula </w:t>
      </w:r>
      <w:r>
        <w:rPr>
          <w:i/>
        </w:rPr>
        <w:t>“</w:t>
      </w:r>
      <w:proofErr w:type="spellStart"/>
      <w:r>
        <w:rPr>
          <w:i/>
        </w:rPr>
        <w:t>Quoniam</w:t>
      </w:r>
      <w:proofErr w:type="spellEnd"/>
      <w:r>
        <w:rPr>
          <w:i/>
        </w:rPr>
        <w:t xml:space="preserve"> alto”</w:t>
      </w:r>
      <w:r>
        <w:t xml:space="preserve">, o deslocou para Bolonha. Os sinodais permaneceram na sua maioria em Basiléia, </w:t>
      </w:r>
      <w:proofErr w:type="gramStart"/>
      <w:r>
        <w:t>colocaram</w:t>
      </w:r>
      <w:proofErr w:type="gramEnd"/>
      <w:r>
        <w:t xml:space="preserve"> em dúvida a disposição do Papa quanto à reforma e, na sessão 2ª, de 15 fev. 1432, refizeram o decreto de Constança </w:t>
      </w:r>
      <w:r>
        <w:rPr>
          <w:i/>
        </w:rPr>
        <w:t>“</w:t>
      </w:r>
      <w:proofErr w:type="spellStart"/>
      <w:r>
        <w:rPr>
          <w:i/>
        </w:rPr>
        <w:t>Frequens</w:t>
      </w:r>
      <w:proofErr w:type="spellEnd"/>
      <w:r>
        <w:rPr>
          <w:i/>
        </w:rPr>
        <w:t>”</w:t>
      </w:r>
      <w:r>
        <w:t xml:space="preserve"> sobre a supremacia do concíli</w:t>
      </w:r>
      <w:r>
        <w:t>o sobre o Papa</w:t>
      </w:r>
      <w:r>
        <w:t xml:space="preserve">. Obrigado pela oposição dos príncipes eclesiásticos reunidos em Basiléia, Eugênio IV na bula </w:t>
      </w:r>
      <w:r>
        <w:rPr>
          <w:i/>
        </w:rPr>
        <w:t>“</w:t>
      </w:r>
      <w:proofErr w:type="spellStart"/>
      <w:r>
        <w:rPr>
          <w:i/>
        </w:rPr>
        <w:t>Dudum</w:t>
      </w:r>
      <w:proofErr w:type="spellEnd"/>
      <w:r>
        <w:rPr>
          <w:i/>
        </w:rPr>
        <w:t xml:space="preserve"> </w:t>
      </w:r>
      <w:proofErr w:type="spellStart"/>
      <w:r>
        <w:rPr>
          <w:i/>
        </w:rPr>
        <w:t>sacrum</w:t>
      </w:r>
      <w:proofErr w:type="spellEnd"/>
      <w:r>
        <w:rPr>
          <w:i/>
        </w:rPr>
        <w:t xml:space="preserve">” </w:t>
      </w:r>
      <w:r>
        <w:t>de 15 dez. 1433 retirou os seus decretos contra o Concílio de Basiléia e reconheceu su</w:t>
      </w:r>
      <w:r>
        <w:t>a legitimidade</w:t>
      </w:r>
      <w:r>
        <w:t xml:space="preserve">. Em </w:t>
      </w:r>
      <w:proofErr w:type="spellStart"/>
      <w:r>
        <w:t>conseqüência</w:t>
      </w:r>
      <w:proofErr w:type="spellEnd"/>
      <w:r>
        <w:t xml:space="preserve">, as primeiras 25 sessões deste concílio têm valor ecumênico. Na disputa a respeito da questão de onde tratar com os gregos sobre a reunião, Eugênio IV, em 18 set. 1437, na constituição </w:t>
      </w:r>
      <w:r>
        <w:rPr>
          <w:i/>
        </w:rPr>
        <w:t>“</w:t>
      </w:r>
      <w:proofErr w:type="spellStart"/>
      <w:r>
        <w:rPr>
          <w:i/>
        </w:rPr>
        <w:t>Doctoris</w:t>
      </w:r>
      <w:proofErr w:type="spellEnd"/>
      <w:r>
        <w:rPr>
          <w:i/>
        </w:rPr>
        <w:t xml:space="preserve"> gentium”</w:t>
      </w:r>
      <w:r>
        <w:t xml:space="preserve">, deslocou o concílio para Ferrara. A maioria dos sinodais, porém, continuou o concílio em Basiléia até o ano 1448. Em 24 jun. 1439 depuseram Eugênio IV e em </w:t>
      </w:r>
      <w:proofErr w:type="gramStart"/>
      <w:r>
        <w:t>5</w:t>
      </w:r>
      <w:proofErr w:type="gramEnd"/>
      <w:r>
        <w:t xml:space="preserve"> nov. do mesmo ano elegeram como chefe da Igreja Amadeu VIII de </w:t>
      </w:r>
      <w:proofErr w:type="spellStart"/>
      <w:r>
        <w:t>Sabóia</w:t>
      </w:r>
      <w:proofErr w:type="spellEnd"/>
      <w:r>
        <w:t xml:space="preserve">. Com a eleição de um antipapa, o cisma se consumou. </w:t>
      </w:r>
    </w:p>
    <w:p w:rsidR="00992E39" w:rsidRDefault="00992E39" w:rsidP="00992E39">
      <w:pPr>
        <w:pStyle w:val="Estilo1"/>
      </w:pPr>
      <w:r>
        <w:t xml:space="preserve">Em Ferrara, o concílio começou em </w:t>
      </w:r>
      <w:proofErr w:type="gramStart"/>
      <w:r>
        <w:t>8</w:t>
      </w:r>
      <w:proofErr w:type="gramEnd"/>
      <w:r>
        <w:t xml:space="preserve"> jan. 1438. Depois de 16 sessões foi deslocado para Florença, onde em 26 fev. 1439 teve lugar </w:t>
      </w:r>
      <w:proofErr w:type="gramStart"/>
      <w:r>
        <w:t>a</w:t>
      </w:r>
      <w:proofErr w:type="gramEnd"/>
      <w:r>
        <w:t xml:space="preserve"> primeira sessão geral. Depois de difíceis tratativas, em 28 jun. 1439 foi redigido o decreto sobre a união com os gregos, subscrito em </w:t>
      </w:r>
      <w:proofErr w:type="gramStart"/>
      <w:r>
        <w:t>5</w:t>
      </w:r>
      <w:proofErr w:type="gramEnd"/>
      <w:r>
        <w:t xml:space="preserve"> jul. e tornado público um dia depois. Em 22 nov. 1439 seguiu a união com os armênios. O decreto para os </w:t>
      </w:r>
      <w:proofErr w:type="spellStart"/>
      <w:r>
        <w:t>jacobitas</w:t>
      </w:r>
      <w:proofErr w:type="spellEnd"/>
      <w:r>
        <w:t xml:space="preserve"> (a bula diz sempre, estranhamente, jaco</w:t>
      </w:r>
      <w:r>
        <w:rPr>
          <w:i/>
        </w:rPr>
        <w:t>binos</w:t>
      </w:r>
      <w:r>
        <w:t xml:space="preserve">), que confirma a união com os coptas, foi emanado em </w:t>
      </w:r>
      <w:proofErr w:type="gramStart"/>
      <w:r>
        <w:t>4</w:t>
      </w:r>
      <w:proofErr w:type="gramEnd"/>
      <w:r>
        <w:t xml:space="preserve"> fev. 1442. Em 26 abr. 1443 o concílio foi transferido para Roma, no </w:t>
      </w:r>
      <w:proofErr w:type="spellStart"/>
      <w:r>
        <w:t>Latrão</w:t>
      </w:r>
      <w:proofErr w:type="spellEnd"/>
      <w:r>
        <w:t>, e em duas sessões (30 set. 1444 e 7 ago. 1445) concluiu a união com os outros orientais: os sírios da Mesopotâmia, os caldeus e os maronitas de Chipre.</w:t>
      </w:r>
    </w:p>
    <w:p w:rsidR="00D92EF1" w:rsidRDefault="00D92EF1" w:rsidP="00D92EF1">
      <w:pPr>
        <w:pStyle w:val="Ttulo4"/>
      </w:pPr>
      <w:r>
        <w:lastRenderedPageBreak/>
        <w:t>Bula sobre a união com os gregos: “Laetentur caeli”, 6 jul. 1439</w:t>
      </w:r>
    </w:p>
    <w:p w:rsidR="00D92EF1" w:rsidRDefault="00D92EF1" w:rsidP="00D92EF1">
      <w:pPr>
        <w:pStyle w:val="Ttulo5"/>
        <w:jc w:val="center"/>
      </w:pPr>
      <w:r>
        <w:t>Decreto para os gregos</w:t>
      </w:r>
    </w:p>
    <w:p w:rsidR="00D92EF1" w:rsidRDefault="00D92EF1" w:rsidP="00276B67">
      <w:r>
        <w:t xml:space="preserve"> [</w:t>
      </w:r>
      <w:r>
        <w:rPr>
          <w:i/>
          <w:spacing w:val="40"/>
          <w:u w:val="single"/>
        </w:rPr>
        <w:t>A procedência do Espírito Santo.</w:t>
      </w:r>
      <w:r>
        <w:t>] Em nome da santa Trindade, Pai, Filho e Espírito Santo, com a aprovação deste santo Concílio universal de Florença, nós definimos, para que por todos os cristãos seja crido e acolhido, e assim todos professem esta verdade de fé: que o Espírito Santo existe eternamente do Pai e do Filho, que tem a sua essência e o seu ser subsistente ao mesmo tempo do Pai e do Filho, e que procede eternamente de um e de outro como de um só princípio e por uma só espiração [</w:t>
      </w:r>
      <w:r>
        <w:rPr>
          <w:i/>
        </w:rPr>
        <w:t xml:space="preserve">cf. II Concílio de </w:t>
      </w:r>
      <w:proofErr w:type="spellStart"/>
      <w:r>
        <w:rPr>
          <w:i/>
        </w:rPr>
        <w:t>Lião</w:t>
      </w:r>
      <w:proofErr w:type="spellEnd"/>
      <w:r>
        <w:rPr>
          <w:i/>
        </w:rPr>
        <w:t xml:space="preserve"> *850</w:t>
      </w:r>
      <w:r>
        <w:t xml:space="preserve">]; </w:t>
      </w:r>
    </w:p>
    <w:p w:rsidR="00D92EF1" w:rsidRDefault="00D92EF1" w:rsidP="00D92EF1">
      <w:proofErr w:type="gramStart"/>
      <w:r>
        <w:t>e</w:t>
      </w:r>
      <w:proofErr w:type="gramEnd"/>
      <w:r>
        <w:t xml:space="preserve"> declaramos que o que têm dito os santos Doutores e Padres, isto é, que o Espírito Santo procede do Pai por meio do Filho, favorece a compreensão de que também o Filho, como o Pai, segundo os gregos é causa, segundo os latinos princípio da subsistência do Espírito Santo.</w:t>
      </w:r>
    </w:p>
    <w:p w:rsidR="00D92EF1" w:rsidRDefault="00D92EF1" w:rsidP="00276B67">
      <w:r>
        <w:t>E porque tudo o que é do Pai, o próprio Pai o deu ao seu único Filho gerando-o – à exceção do seu ser Pai –, o próprio proceder do Espírito Santo do Filho, o Filho o tem do Pai desde a eternidade, do qual também desde a eternidade é gerado.</w:t>
      </w:r>
    </w:p>
    <w:p w:rsidR="00D92EF1" w:rsidRDefault="00D92EF1" w:rsidP="00276B67">
      <w:r>
        <w:t>Definimos, além disso, que a explicação dada com a expressão “</w:t>
      </w:r>
      <w:proofErr w:type="spellStart"/>
      <w:r>
        <w:t>Filioque</w:t>
      </w:r>
      <w:proofErr w:type="spellEnd"/>
      <w:r>
        <w:t xml:space="preserve">” foi lícita e razoavelmente acrescentada ao Símbolo para tornar mais clara </w:t>
      </w:r>
      <w:proofErr w:type="gramStart"/>
      <w:r>
        <w:t>a</w:t>
      </w:r>
      <w:proofErr w:type="gramEnd"/>
      <w:r>
        <w:t xml:space="preserve"> verdade e por uma necessidade urgente daquele momento.</w:t>
      </w:r>
    </w:p>
    <w:sectPr w:rsidR="00D92EF1" w:rsidSect="008E1B1B">
      <w:pgSz w:w="11907" w:h="16839" w:code="9"/>
      <w:pgMar w:top="1134" w:right="1134" w:bottom="1134" w:left="1134" w:header="720" w:footer="720" w:gutter="0"/>
      <w:cols w:space="708"/>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2710F"/>
    <w:multiLevelType w:val="hybridMultilevel"/>
    <w:tmpl w:val="373C785E"/>
    <w:lvl w:ilvl="0" w:tplc="FB08FAB8">
      <w:start w:val="1"/>
      <w:numFmt w:val="decimal"/>
      <w:pStyle w:val="Ttulo2"/>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E686B8D"/>
    <w:multiLevelType w:val="multilevel"/>
    <w:tmpl w:val="92544DAE"/>
    <w:lvl w:ilvl="0">
      <w:start w:val="1"/>
      <w:numFmt w:val="decimal"/>
      <w:lvlText w:val="%1"/>
      <w:lvlJc w:val="left"/>
      <w:pPr>
        <w:ind w:left="360" w:hanging="360"/>
      </w:pPr>
      <w:rPr>
        <w:rFonts w:hint="default"/>
      </w:rPr>
    </w:lvl>
    <w:lvl w:ilvl="1">
      <w:start w:val="4"/>
      <w:numFmt w:val="decimal"/>
      <w:lvlText w:val="%1.%2"/>
      <w:lvlJc w:val="left"/>
      <w:pPr>
        <w:ind w:left="1512" w:hanging="72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456" w:hanging="108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400" w:hanging="1440"/>
      </w:pPr>
      <w:rPr>
        <w:rFonts w:hint="default"/>
      </w:rPr>
    </w:lvl>
    <w:lvl w:ilvl="6">
      <w:start w:val="1"/>
      <w:numFmt w:val="decimal"/>
      <w:lvlText w:val="%1.%2.%3.%4.%5.%6.%7"/>
      <w:lvlJc w:val="left"/>
      <w:pPr>
        <w:ind w:left="6552" w:hanging="1800"/>
      </w:pPr>
      <w:rPr>
        <w:rFonts w:hint="default"/>
      </w:rPr>
    </w:lvl>
    <w:lvl w:ilvl="7">
      <w:start w:val="1"/>
      <w:numFmt w:val="decimal"/>
      <w:lvlText w:val="%1.%2.%3.%4.%5.%6.%7.%8"/>
      <w:lvlJc w:val="left"/>
      <w:pPr>
        <w:ind w:left="7344" w:hanging="1800"/>
      </w:pPr>
      <w:rPr>
        <w:rFonts w:hint="default"/>
      </w:rPr>
    </w:lvl>
    <w:lvl w:ilvl="8">
      <w:start w:val="1"/>
      <w:numFmt w:val="decimal"/>
      <w:lvlText w:val="%1.%2.%3.%4.%5.%6.%7.%8.%9"/>
      <w:lvlJc w:val="left"/>
      <w:pPr>
        <w:ind w:left="8496" w:hanging="2160"/>
      </w:pPr>
      <w:rPr>
        <w:rFonts w:hint="default"/>
      </w:rPr>
    </w:lvl>
  </w:abstractNum>
  <w:abstractNum w:abstractNumId="2">
    <w:nsid w:val="18146A69"/>
    <w:multiLevelType w:val="multilevel"/>
    <w:tmpl w:val="0416001D"/>
    <w:styleLink w:val="Estilo2"/>
    <w:lvl w:ilvl="0">
      <w:start w:val="1"/>
      <w:numFmt w:val="decimal"/>
      <w:lvlText w:val="%1)"/>
      <w:lvlJc w:val="left"/>
      <w:pPr>
        <w:ind w:left="360" w:hanging="360"/>
      </w:pPr>
    </w:lvl>
    <w:lvl w:ilvl="1">
      <w:start w:val="1"/>
      <w:numFmt w:val="decimal"/>
      <w:lvlText w:val="%2)"/>
      <w:lvlJc w:val="left"/>
      <w:pPr>
        <w:ind w:left="720" w:hanging="360"/>
      </w:pPr>
      <w:rPr>
        <w:rFonts w:ascii="Times New Roman" w:hAnsi="Times New Roman"/>
        <w:b/>
        <w:sz w:val="24"/>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C88698E"/>
    <w:multiLevelType w:val="hybridMultilevel"/>
    <w:tmpl w:val="69683BD4"/>
    <w:lvl w:ilvl="0" w:tplc="5B1843FC">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66ED6936"/>
    <w:multiLevelType w:val="hybridMultilevel"/>
    <w:tmpl w:val="1F6E29C8"/>
    <w:lvl w:ilvl="0" w:tplc="5A48ED30">
      <w:start w:val="1"/>
      <w:numFmt w:val="decimal"/>
      <w:pStyle w:val="SemEspaamento"/>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08"/>
  <w:hyphenationZone w:val="425"/>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2"/>
  </w:compat>
  <w:rsids>
    <w:rsidRoot w:val="00D92EF1"/>
    <w:rsid w:val="0001079E"/>
    <w:rsid w:val="00095CBF"/>
    <w:rsid w:val="000E3AD0"/>
    <w:rsid w:val="00205C79"/>
    <w:rsid w:val="00276B67"/>
    <w:rsid w:val="002E76A9"/>
    <w:rsid w:val="003C632E"/>
    <w:rsid w:val="003E57B6"/>
    <w:rsid w:val="004465B4"/>
    <w:rsid w:val="006E48F6"/>
    <w:rsid w:val="007F2147"/>
    <w:rsid w:val="008C1B47"/>
    <w:rsid w:val="008E1B1B"/>
    <w:rsid w:val="00972E6E"/>
    <w:rsid w:val="00992E39"/>
    <w:rsid w:val="00AC442A"/>
    <w:rsid w:val="00AC4EDA"/>
    <w:rsid w:val="00C902A2"/>
    <w:rsid w:val="00D560B5"/>
    <w:rsid w:val="00D92EF1"/>
    <w:rsid w:val="00F740B0"/>
    <w:rsid w:val="00FF242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2EF1"/>
    <w:pPr>
      <w:tabs>
        <w:tab w:val="left" w:pos="567"/>
        <w:tab w:val="left" w:pos="1134"/>
        <w:tab w:val="left" w:pos="1701"/>
        <w:tab w:val="left" w:pos="2268"/>
        <w:tab w:val="left" w:pos="2835"/>
      </w:tabs>
      <w:spacing w:before="20" w:after="20" w:line="240" w:lineRule="auto"/>
      <w:ind w:firstLine="567"/>
      <w:jc w:val="both"/>
    </w:pPr>
    <w:rPr>
      <w:rFonts w:ascii="Times New Roman" w:hAnsi="Times New Roman" w:cs="Times New Roman"/>
      <w:sz w:val="24"/>
      <w:szCs w:val="20"/>
      <w:lang w:eastAsia="pt-BR"/>
    </w:rPr>
  </w:style>
  <w:style w:type="paragraph" w:styleId="Ttulo1">
    <w:name w:val="heading 1"/>
    <w:basedOn w:val="Normal"/>
    <w:next w:val="Normal"/>
    <w:link w:val="Ttulo1Char"/>
    <w:uiPriority w:val="99"/>
    <w:qFormat/>
    <w:rsid w:val="0001079E"/>
    <w:pPr>
      <w:tabs>
        <w:tab w:val="clear" w:pos="567"/>
        <w:tab w:val="clear" w:pos="1134"/>
        <w:tab w:val="clear" w:pos="1701"/>
        <w:tab w:val="clear" w:pos="2268"/>
        <w:tab w:val="clear" w:pos="2835"/>
      </w:tabs>
      <w:spacing w:before="0" w:after="0" w:line="360" w:lineRule="auto"/>
      <w:ind w:firstLine="709"/>
      <w:outlineLvl w:val="0"/>
    </w:pPr>
    <w:rPr>
      <w:szCs w:val="24"/>
    </w:rPr>
  </w:style>
  <w:style w:type="paragraph" w:styleId="Ttulo2">
    <w:name w:val="heading 2"/>
    <w:basedOn w:val="Ttulo1"/>
    <w:next w:val="Normal"/>
    <w:link w:val="Ttulo2Char"/>
    <w:autoRedefine/>
    <w:uiPriority w:val="9"/>
    <w:unhideWhenUsed/>
    <w:qFormat/>
    <w:rsid w:val="00AC442A"/>
    <w:pPr>
      <w:keepNext/>
      <w:keepLines/>
      <w:numPr>
        <w:numId w:val="5"/>
      </w:numPr>
      <w:spacing w:before="120" w:after="120"/>
      <w:outlineLvl w:val="1"/>
    </w:pPr>
    <w:rPr>
      <w:rFonts w:asciiTheme="majorHAnsi" w:eastAsiaTheme="majorEastAsia" w:hAnsiTheme="majorHAnsi" w:cstheme="majorBidi"/>
      <w:b/>
      <w:bCs/>
      <w:sz w:val="26"/>
      <w:szCs w:val="26"/>
    </w:rPr>
  </w:style>
  <w:style w:type="paragraph" w:styleId="Ttulo3">
    <w:name w:val="heading 3"/>
    <w:basedOn w:val="Normal"/>
    <w:next w:val="Normal"/>
    <w:link w:val="Ttulo3Char"/>
    <w:uiPriority w:val="9"/>
    <w:semiHidden/>
    <w:unhideWhenUsed/>
    <w:qFormat/>
    <w:rsid w:val="00D92EF1"/>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next w:val="Normal"/>
    <w:link w:val="Ttulo4Char"/>
    <w:qFormat/>
    <w:rsid w:val="00D92EF1"/>
    <w:pPr>
      <w:keepNext/>
      <w:keepLines/>
      <w:spacing w:before="120" w:after="60" w:line="240" w:lineRule="auto"/>
      <w:outlineLvl w:val="3"/>
    </w:pPr>
    <w:rPr>
      <w:rFonts w:ascii="Times New Roman" w:hAnsi="Times New Roman" w:cs="Times New Roman"/>
      <w:b/>
      <w:noProof/>
      <w:sz w:val="24"/>
      <w:szCs w:val="20"/>
      <w:lang w:eastAsia="pt-BR"/>
    </w:rPr>
  </w:style>
  <w:style w:type="paragraph" w:styleId="Ttulo5">
    <w:name w:val="heading 5"/>
    <w:basedOn w:val="Normal"/>
    <w:next w:val="Normal"/>
    <w:link w:val="Ttulo5Char"/>
    <w:qFormat/>
    <w:rsid w:val="00D92EF1"/>
    <w:pPr>
      <w:keepNext/>
      <w:spacing w:before="120" w:after="60"/>
      <w:ind w:firstLine="0"/>
      <w:outlineLvl w:val="4"/>
    </w:pPr>
    <w:rPr>
      <w:i/>
    </w:rPr>
  </w:style>
  <w:style w:type="paragraph" w:styleId="Ttulo6">
    <w:name w:val="heading 6"/>
    <w:basedOn w:val="Normal"/>
    <w:next w:val="Normal"/>
    <w:link w:val="Ttulo6Char"/>
    <w:qFormat/>
    <w:rsid w:val="00D92EF1"/>
    <w:pPr>
      <w:keepNext/>
      <w:spacing w:before="80" w:after="40"/>
      <w:ind w:left="-284" w:firstLine="0"/>
      <w:outlineLvl w:val="5"/>
    </w:pPr>
    <w:rPr>
      <w:b/>
      <w:sz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uiPriority w:val="9"/>
    <w:rsid w:val="00AC442A"/>
    <w:rPr>
      <w:rFonts w:asciiTheme="majorHAnsi" w:eastAsiaTheme="majorEastAsia" w:hAnsiTheme="majorHAnsi" w:cstheme="majorBidi"/>
      <w:b/>
      <w:bCs/>
      <w:sz w:val="26"/>
      <w:szCs w:val="26"/>
    </w:rPr>
  </w:style>
  <w:style w:type="character" w:customStyle="1" w:styleId="Ttulo1Char">
    <w:name w:val="Título 1 Char"/>
    <w:basedOn w:val="Fontepargpadro"/>
    <w:link w:val="Ttulo1"/>
    <w:uiPriority w:val="99"/>
    <w:rsid w:val="0001079E"/>
    <w:rPr>
      <w:rFonts w:ascii="Times New Roman" w:hAnsi="Times New Roman" w:cs="Times New Roman"/>
      <w:sz w:val="24"/>
      <w:szCs w:val="24"/>
    </w:rPr>
  </w:style>
  <w:style w:type="paragraph" w:styleId="MapadoDocumento">
    <w:name w:val="Document Map"/>
    <w:basedOn w:val="Normal"/>
    <w:link w:val="MapadoDocumentoChar"/>
    <w:uiPriority w:val="99"/>
    <w:semiHidden/>
    <w:unhideWhenUsed/>
    <w:rsid w:val="0001079E"/>
    <w:pPr>
      <w:tabs>
        <w:tab w:val="clear" w:pos="567"/>
        <w:tab w:val="clear" w:pos="1134"/>
        <w:tab w:val="clear" w:pos="1701"/>
        <w:tab w:val="clear" w:pos="2268"/>
        <w:tab w:val="clear" w:pos="2835"/>
      </w:tabs>
      <w:spacing w:before="0" w:after="0" w:line="360" w:lineRule="auto"/>
      <w:ind w:firstLine="709"/>
    </w:pPr>
    <w:rPr>
      <w:rFonts w:ascii="Tahoma" w:hAnsi="Tahoma" w:cs="Tahoma"/>
      <w:sz w:val="16"/>
      <w:szCs w:val="16"/>
    </w:rPr>
  </w:style>
  <w:style w:type="character" w:customStyle="1" w:styleId="MapadoDocumentoChar">
    <w:name w:val="Mapa do Documento Char"/>
    <w:basedOn w:val="Fontepargpadro"/>
    <w:link w:val="MapadoDocumento"/>
    <w:uiPriority w:val="99"/>
    <w:semiHidden/>
    <w:rsid w:val="0001079E"/>
    <w:rPr>
      <w:rFonts w:ascii="Tahoma" w:hAnsi="Tahoma" w:cs="Tahoma"/>
      <w:sz w:val="16"/>
      <w:szCs w:val="16"/>
    </w:rPr>
  </w:style>
  <w:style w:type="paragraph" w:styleId="SemEspaamento">
    <w:name w:val="No Spacing"/>
    <w:aliases w:val="Titulo1"/>
    <w:basedOn w:val="Normal"/>
    <w:uiPriority w:val="1"/>
    <w:qFormat/>
    <w:rsid w:val="0001079E"/>
    <w:pPr>
      <w:numPr>
        <w:numId w:val="3"/>
      </w:numPr>
      <w:tabs>
        <w:tab w:val="clear" w:pos="567"/>
        <w:tab w:val="clear" w:pos="1134"/>
        <w:tab w:val="clear" w:pos="1701"/>
        <w:tab w:val="clear" w:pos="2268"/>
        <w:tab w:val="clear" w:pos="2835"/>
      </w:tabs>
      <w:spacing w:before="120" w:after="120" w:line="360" w:lineRule="auto"/>
    </w:pPr>
    <w:rPr>
      <w:b/>
      <w:sz w:val="32"/>
      <w:szCs w:val="24"/>
    </w:rPr>
  </w:style>
  <w:style w:type="paragraph" w:styleId="PargrafodaLista">
    <w:name w:val="List Paragraph"/>
    <w:basedOn w:val="Normal"/>
    <w:uiPriority w:val="34"/>
    <w:qFormat/>
    <w:rsid w:val="0001079E"/>
    <w:pPr>
      <w:tabs>
        <w:tab w:val="clear" w:pos="567"/>
        <w:tab w:val="clear" w:pos="1134"/>
        <w:tab w:val="clear" w:pos="1701"/>
        <w:tab w:val="clear" w:pos="2268"/>
        <w:tab w:val="clear" w:pos="2835"/>
      </w:tabs>
      <w:spacing w:before="0" w:after="0" w:line="360" w:lineRule="auto"/>
      <w:ind w:left="720" w:firstLine="709"/>
      <w:contextualSpacing/>
    </w:pPr>
    <w:rPr>
      <w:szCs w:val="24"/>
    </w:rPr>
  </w:style>
  <w:style w:type="numbering" w:customStyle="1" w:styleId="Estilo2">
    <w:name w:val="Estilo2"/>
    <w:uiPriority w:val="99"/>
    <w:rsid w:val="0001079E"/>
    <w:pPr>
      <w:numPr>
        <w:numId w:val="4"/>
      </w:numPr>
    </w:pPr>
  </w:style>
  <w:style w:type="paragraph" w:styleId="Citao">
    <w:name w:val="Quote"/>
    <w:basedOn w:val="Normal"/>
    <w:next w:val="Normal"/>
    <w:link w:val="CitaoChar"/>
    <w:qFormat/>
    <w:rsid w:val="006E48F6"/>
    <w:pPr>
      <w:tabs>
        <w:tab w:val="clear" w:pos="567"/>
        <w:tab w:val="clear" w:pos="1134"/>
        <w:tab w:val="clear" w:pos="1701"/>
        <w:tab w:val="clear" w:pos="2268"/>
        <w:tab w:val="clear" w:pos="2835"/>
      </w:tabs>
      <w:spacing w:before="0" w:after="120"/>
      <w:ind w:left="1531" w:firstLine="0"/>
    </w:pPr>
    <w:rPr>
      <w:sz w:val="20"/>
      <w:lang w:val="es-ES"/>
    </w:rPr>
  </w:style>
  <w:style w:type="character" w:customStyle="1" w:styleId="CitaoChar">
    <w:name w:val="Citação Char"/>
    <w:basedOn w:val="Fontepargpadro"/>
    <w:link w:val="Citao"/>
    <w:rsid w:val="006E48F6"/>
    <w:rPr>
      <w:rFonts w:ascii="Times New Roman" w:eastAsia="Times New Roman" w:hAnsi="Times New Roman" w:cs="Times New Roman"/>
      <w:sz w:val="20"/>
      <w:szCs w:val="20"/>
      <w:lang w:val="es-ES" w:eastAsia="pt-BR"/>
    </w:rPr>
  </w:style>
  <w:style w:type="character" w:customStyle="1" w:styleId="Ttulo4Char">
    <w:name w:val="Título 4 Char"/>
    <w:basedOn w:val="Fontepargpadro"/>
    <w:link w:val="Ttulo4"/>
    <w:rsid w:val="00D92EF1"/>
    <w:rPr>
      <w:rFonts w:ascii="Times New Roman" w:hAnsi="Times New Roman" w:cs="Times New Roman"/>
      <w:b/>
      <w:noProof/>
      <w:sz w:val="24"/>
      <w:szCs w:val="20"/>
      <w:lang w:eastAsia="pt-BR"/>
    </w:rPr>
  </w:style>
  <w:style w:type="character" w:customStyle="1" w:styleId="Ttulo5Char">
    <w:name w:val="Título 5 Char"/>
    <w:basedOn w:val="Fontepargpadro"/>
    <w:link w:val="Ttulo5"/>
    <w:rsid w:val="00D92EF1"/>
    <w:rPr>
      <w:rFonts w:ascii="Times New Roman" w:hAnsi="Times New Roman" w:cs="Times New Roman"/>
      <w:i/>
      <w:sz w:val="24"/>
      <w:szCs w:val="20"/>
      <w:lang w:eastAsia="pt-BR"/>
    </w:rPr>
  </w:style>
  <w:style w:type="character" w:customStyle="1" w:styleId="Ttulo6Char">
    <w:name w:val="Título 6 Char"/>
    <w:basedOn w:val="Fontepargpadro"/>
    <w:link w:val="Ttulo6"/>
    <w:rsid w:val="00D92EF1"/>
    <w:rPr>
      <w:rFonts w:ascii="Times New Roman" w:hAnsi="Times New Roman" w:cs="Times New Roman"/>
      <w:b/>
      <w:sz w:val="20"/>
      <w:szCs w:val="20"/>
      <w:lang w:eastAsia="pt-BR"/>
    </w:rPr>
  </w:style>
  <w:style w:type="paragraph" w:customStyle="1" w:styleId="Estilo1">
    <w:name w:val="Estilo1"/>
    <w:rsid w:val="00D92EF1"/>
    <w:pPr>
      <w:tabs>
        <w:tab w:val="left" w:pos="567"/>
        <w:tab w:val="left" w:pos="1134"/>
        <w:tab w:val="left" w:pos="1701"/>
      </w:tabs>
      <w:spacing w:after="0" w:line="240" w:lineRule="auto"/>
      <w:ind w:firstLine="567"/>
      <w:jc w:val="both"/>
    </w:pPr>
    <w:rPr>
      <w:rFonts w:ascii="Times New Roman" w:hAnsi="Times New Roman" w:cs="Times New Roman"/>
      <w:sz w:val="20"/>
      <w:szCs w:val="20"/>
      <w:lang w:eastAsia="pt-BR"/>
    </w:rPr>
  </w:style>
  <w:style w:type="character" w:customStyle="1" w:styleId="Ttulo3Char">
    <w:name w:val="Título 3 Char"/>
    <w:basedOn w:val="Fontepargpadro"/>
    <w:link w:val="Ttulo3"/>
    <w:uiPriority w:val="9"/>
    <w:semiHidden/>
    <w:rsid w:val="00D92EF1"/>
    <w:rPr>
      <w:rFonts w:asciiTheme="majorHAnsi" w:eastAsiaTheme="majorEastAsia" w:hAnsiTheme="majorHAnsi" w:cstheme="majorBidi"/>
      <w:b/>
      <w:bCs/>
      <w:color w:val="4F81BD" w:themeColor="accent1"/>
      <w:sz w:val="24"/>
      <w:szCs w:val="20"/>
      <w:lang w:eastAsia="pt-BR"/>
    </w:rPr>
  </w:style>
  <w:style w:type="paragraph" w:styleId="Recuodecorpodetexto">
    <w:name w:val="Body Text Indent"/>
    <w:basedOn w:val="Normal"/>
    <w:link w:val="RecuodecorpodetextoChar"/>
    <w:semiHidden/>
    <w:rsid w:val="00D92EF1"/>
  </w:style>
  <w:style w:type="character" w:customStyle="1" w:styleId="RecuodecorpodetextoChar">
    <w:name w:val="Recuo de corpo de texto Char"/>
    <w:basedOn w:val="Fontepargpadro"/>
    <w:link w:val="Recuodecorpodetexto"/>
    <w:semiHidden/>
    <w:rsid w:val="00D92EF1"/>
    <w:rPr>
      <w:rFonts w:ascii="Times New Roman" w:hAnsi="Times New Roman" w:cs="Times New Roman"/>
      <w:sz w:val="24"/>
      <w:szCs w:val="20"/>
      <w:lang w:eastAsia="pt-BR"/>
    </w:rPr>
  </w:style>
  <w:style w:type="character" w:customStyle="1" w:styleId="ampliado2">
    <w:name w:val="ampliado 2"/>
    <w:rsid w:val="00D92EF1"/>
    <w:rPr>
      <w:spacing w:val="4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7</Pages>
  <Words>3799</Words>
  <Characters>20517</Characters>
  <Application>Microsoft Office Word</Application>
  <DocSecurity>0</DocSecurity>
  <Lines>170</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Vanildo</dc:creator>
  <cp:lastModifiedBy>Vanildo</cp:lastModifiedBy>
  <cp:revision>3</cp:revision>
  <cp:lastPrinted>2010-10-21T16:38:00Z</cp:lastPrinted>
  <dcterms:created xsi:type="dcterms:W3CDTF">2010-10-21T16:26:00Z</dcterms:created>
  <dcterms:modified xsi:type="dcterms:W3CDTF">2013-03-04T19:34:00Z</dcterms:modified>
</cp:coreProperties>
</file>